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KVAV — Ausnahmevorschrift</w:t>
      </w:r>
    </w:p>
    <w:p>
      <w:r>
        <w:rPr>
          <w:color w:val="555555"/>
          <w:sz w:val="18"/>
        </w:rPr>
        <w:t xml:space="preserve">Krankenversicherungsaufsichtsverordnung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findet mit Ausnahme der Regelung der § 5 Absatz 2, § 14 Absatz 6, § 22 Absatz 2 und 4 bis 7 sowie § 23 Absatz 1 Nummer 2 Buchstabe f und g keine Anwendung auf die Pflegepflichtversicherung.</w:t>
      </w:r>
    </w:p>
    <w:p>
      <w:r>
        <w:rPr>
          <w:color w:val="555555"/>
          <w:sz w:val="17"/>
        </w:rPr>
        <w:t xml:space="preserve">Zitiervorschlag: § 26 KVAV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https://recht.nulegal.eu/gesetze/KVAV/26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