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KVAV — Leistungen wegen Schwangerschaft und Mutterschaft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Leistungen wegen Schwangerschaft und Mutterschaft sind diejenigen Leistungen anzusehen, die</w:t>
      </w:r>
    </w:p>
    <w:p>
      <w:pPr>
        <w:ind w:left="420"/>
      </w:pPr>
      <w:r>
        <w:t xml:space="preserve">1. in dem Zeitraum anfallen, der acht Monate vor einer Geburt beginnt und einen Monat nach einer Geburt endet;</w:t>
      </w:r>
    </w:p>
    <w:p>
      <w:pPr>
        <w:ind w:left="420"/>
      </w:pPr>
      <w:r>
        <w:t xml:space="preserve">2. auf Grund des § 192 Absatz 5 Satz 2 des Versicherungsvertragsgesetzes erbracht werden in den dort maßgeblichen Zeiträumen.</w:t>
      </w:r>
    </w:p>
    <w:p>
      <w:r>
        <w:t xml:space="preserve">Davon ausgenommen sind Leistungen, für die das Versicherungsunternehmen nachweisen kann, dass sie nicht im Zusammenhang mit Schwangerschaft und Mutterschaft gestanden haben.</w:t>
      </w:r>
    </w:p>
    <w:p>
      <w:r>
        <w:rPr>
          <w:color w:val="555555"/>
          <w:sz w:val="17"/>
        </w:rPr>
        <w:t xml:space="preserve">Zitiervorschlag: § 25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