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KVAV — Verteilung der Direktgutschrift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Spätestens zum jeweiligen Bilanzstichtag ist, getrennt für jede Bestandsgruppe mit einheitlicher rechnungsmäßiger Verzinsung, der Betrag zu bestimmen, der nach § 150 Absatz 2 Satz 2 und 3 des Versicherungsaufsichtsgesetzes den Alterungsrückstellungen der Versicherten direkt gutzuschreiben ist; der Betrag wird auf die einzelnen Versicherten anteilig entsprechend den positiven Alterungsrückstellungen zum Ende des vorhergehenden Geschäftsjahres verteilt. Alterungsrückstellungen, die aus dem Beitragszuschlag nach § 149 des Versicherungsaufsichtsgesetzes sowie aus der Direktgutschrift nach § 150 Absatz 2 Satz 1 des Versicherungsaufsichtsgesetzes entstanden sind, bleiben bis zum Ende des Geschäftsjahres, in dem der Versicherte das 65. Lebensjahr vollendet, bei dieser Gutschrift unberücksichtigt.</w:t>
      </w:r>
    </w:p>
    <w:p>
      <w:r>
        <w:t xml:space="preserve">(2) Endet der Versicherungsvertrag hinsichtlich eines Tarifs bedingungsgemäß spätestens mit Vollendung des 65. Lebensjahres, so ist ein nach § 150 Absatz 2 des Versicherungsaufsichtsgesetzes jährlich gutzuschreibender Betrag auf die anderen Tarife des Versicherten, die die Voraussetzungen des § 150 Absatz 1 des Versicherungsaufsichtsgesetzes erfüllen, zum Zeitpunkt der Gutschrift aufzuteilen. Bestehen derartige Tarife nicht, so ist der Betrag zur sofortigen oder auf höchstens fünf Jahre aufgeschobenen Prämienermäßigung zu verwenden.</w:t>
      </w:r>
    </w:p>
    <w:p>
      <w:r>
        <w:rPr>
          <w:color w:val="555555"/>
          <w:sz w:val="17"/>
        </w:rPr>
        <w:t xml:space="preserve">Zitiervorschlag: § 20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