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KVAV — Rechnungsgrundlagen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Rechnungsgrundlagen sind:</w:t>
      </w:r>
    </w:p>
    <w:p>
      <w:pPr>
        <w:ind w:left="420"/>
      </w:pPr>
      <w:r>
        <w:t xml:space="preserve">1. der Rechnungszins,</w:t>
      </w:r>
    </w:p>
    <w:p>
      <w:pPr>
        <w:ind w:left="420"/>
      </w:pPr>
      <w:r>
        <w:t xml:space="preserve">2. die Ausscheideordnung,</w:t>
      </w:r>
    </w:p>
    <w:p>
      <w:pPr>
        <w:ind w:left="420"/>
      </w:pPr>
      <w:r>
        <w:t xml:space="preserve">3. die Kopfschäden,</w:t>
      </w:r>
    </w:p>
    <w:p>
      <w:pPr>
        <w:ind w:left="420"/>
      </w:pPr>
      <w:r>
        <w:t xml:space="preserve">4. der Sicherheitszuschlag,</w:t>
      </w:r>
    </w:p>
    <w:p>
      <w:pPr>
        <w:ind w:left="420"/>
      </w:pPr>
      <w:r>
        <w:t xml:space="preserve">5. die sonstigen Zuschläge und</w:t>
      </w:r>
    </w:p>
    <w:p>
      <w:pPr>
        <w:ind w:left="420"/>
      </w:pPr>
      <w:r>
        <w:t xml:space="preserve">6. die Übertrittswahrscheinlichkeiten zur Berechnung des Übertragungswertes nach § 14.</w:t>
      </w:r>
    </w:p>
    <w:p>
      <w:r>
        <w:t xml:space="preserve">(2) Weitere Rechnungsgrundlagen sind die Krankheitsdauern und die Leistungstage, die Anzahl der Krankenhaus- und der Pflegetage, die Krankenhaus-, die Pflegehäufigkeiten, die Krankheits- und die Pflegekosten bezogen auf den Leistungstag sowie andere geeignete Rechnungsgrundlagen, die zur Festlegung der Kopfschäden oder Ausscheidewahrscheinlichkeiten erforderlich sind.</w:t>
      </w:r>
    </w:p>
    <w:p>
      <w:r>
        <w:t xml:space="preserve">(3) Die Rechnungsgrundlagen sind mit ausreichenden Sicherheiten zu versehen.</w:t>
      </w:r>
    </w:p>
    <w:p>
      <w:r>
        <w:rPr>
          <w:color w:val="555555"/>
          <w:sz w:val="17"/>
        </w:rPr>
        <w:t xml:space="preserve">Zitiervorschlag: § 2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