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KVAV — Ermittlung des Überzinses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Überzinses, den ein Versicherungsunternehmen bei der nach Art der Lebensversicherung betriebenen Krankheitskosten- und freiwilligen Pflegekrankenversicherung erwirtschaftet, ist der Durchschnittszinssatz heranzuziehen. Der Durchschnittszinssatz errechnet sich aus der Summe der Erträge aus Kapitalanlagen (Posten I.3 im Formblatt 3 der Versicherungsunternehmens-Rechnungslegungsverordnung) vermindert um die Summe der Aufwendungen für Kapitalanlagen (Posten I.10 im Formblatt 3 der Versicherungsunternehmens-Rechnungslegungsverordnung) und sodann dividiert durch das arithmetische Mittel des Buchwertes der Kapitalanlagen (Posten C der Aktivseite im Formblatt 1 der Versicherungsunternehmens-Rechnungslegungsverordnung, Betrag am Ende des Vorjahres und am Ende des Geschäftsjahres).</w:t>
      </w:r>
    </w:p>
    <w:p>
      <w:r>
        <w:t xml:space="preserve">(2) Soweit bei einem Versicherungsunternehmen keine einheitliche rechnungsmäßige Verzinsung der Alterungsrückstellungen erfolgt, ist für jede Bestandsgruppe mit einheitlicher rechnungsmäßiger Verzinsung der auf sie entfallende anteilige Überzins-Betrag zu ermitteln und bei der Verteilung zugrunde zu legen.</w:t>
      </w:r>
    </w:p>
    <w:p>
      <w:r>
        <w:rPr>
          <w:color w:val="555555"/>
          <w:sz w:val="17"/>
        </w:rPr>
        <w:t xml:space="preserve">Zitiervorschlag: § 19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