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KVAV — Vorlagefristen</w:t>
      </w:r>
    </w:p>
    <w:p>
      <w:r>
        <w:rPr>
          <w:color w:val="555555"/>
          <w:sz w:val="18"/>
        </w:rPr>
        <w:t xml:space="preserve">Krankenversicherungsaufsichtsverordnung</w:t>
      </w:r>
    </w:p>
    <w:p>
      <w:r>
        <w:rPr>
          <w:color w:val="555555"/>
          <w:sz w:val="18"/>
        </w:rPr>
        <w:t xml:space="preserve">Stand: 10.06.2019 (konsolidierte Textfassung, kein amtliches Inkrafttretensdatum)</w:t>
      </w:r>
    </w:p>
    <w:p>
      <w:r>
        <w:t xml:space="preserve">(1) Spätestens vier Monate nach dem Ende des Beobachtungszeitraumes hat das Versicherungsunternehmen die kommentierte Gegenüberstellung der erforderlichen und der kalkulierten Versicherungsleistungen nach § 155 Absatz 3 Satz 2 des Versicherungsaufsichtsgesetzes dem Treuhänder und der Aufsichtsbehörde vorzulegen. Wird der in den Versicherungsbedingungen festgelegte Prozentsatz überschritten, jedoch von einer Neukalkulation abgesehen, so sind die Gegenüberstellungen der tatsächlichen und der rechnungsmäßigen Versicherungsleistungen der letzten vier Beobachtungszeiträume auf der Grundlage der aktuell gültigen Rechnungsgrundlagen beizufügen.</w:t>
      </w:r>
    </w:p>
    <w:p>
      <w:r>
        <w:t xml:space="preserve">(2) Zugleich mit der Meldung gemäß Absatz 1 ist die Gegenüberstellung gemäß § 155 Absatz 4 des Versicherungsaufsichtsgesetzes dem Treuhänder und der Aufsichtsbehörde vorzulegen.</w:t>
      </w:r>
    </w:p>
    <w:p>
      <w:r>
        <w:t xml:space="preserve">(3) Soweit die Gegenüberstellung der erforderlichen und der kalkulierten Versicherungsleistungen oder die Gegenüberstellung der erforderlichen und kalkulierten Sterbewahrscheinlichkeiten und die Überprüfung der Prämien die Notwendigkeit von Prämienanpassungen ergeben hat, hat das Versicherungsunternehmen die Herleitung der neuen Prämien für die Versicherten einschließlich der statistischen Nachweise für die Rechnungsgrundlagen dem Treuhänder spätestens zwölf Monate nach Abschluss des Beobachtungszeitraumes vorzulegen.</w:t>
      </w:r>
    </w:p>
    <w:p>
      <w:r>
        <w:rPr>
          <w:color w:val="555555"/>
          <w:sz w:val="17"/>
        </w:rPr>
        <w:t xml:space="preserve">Zitiervorschlag: § 17 KVAV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https://recht.nulegal.eu/gesetze/KVAV/17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