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KVAV — Verfahren zur Gegenüberstellung der kalkulierten Sterbewahrscheinlichkeiten und der zuletzt veröffentlichten Sterbewahrscheinlichkeiten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Die Gegenüberstellung nach § 155 Absatz 4 des Versicherungsaufsichtsgesetzes ist jährlich und für jede Beobachtungseinheit eines Tarifs, bei der Sterbewahrscheinlichkeiten kalkulatorisch berücksichtigt werden, getrennt durchzuführen. Als Barwert der erforderlichen Sterbewahrscheinlichkeiten ist der Leistungsbarwert nach der Formel in Anlage 1 mit Rechnungszins und rechnungsmäßigen Kopfschäden der betrachteten Beobachtungseinheit sowie mit der zuletzt von der Bundesanstalt veröffentlichten Sterbetafel zu bestimmen. Als Barwert der kalkulierten Sterbewahrscheinlichkeiten ist der Leistungsbarwert nach der Formel in Anlage 1 mit Rechnungszins, rechnungsmäßigen Sterbewahrscheinlichkeiten und rechnungsmäßigen Kopfschäden der betrachteten Beobachtungseinheit zu bestimmen. Stornowahrscheinlichkeiten dürfen bei der Berechnung der Barwerte gemäß den Sätzen 2 und 3 nicht berücksichtigt werden. Für die Altersbereiche von 21 bis 45 Jahren, von 46 bis 70 Jahren sowie von 71 bis 95 Jahren ist jeweils das arithmetische Mittel der für die einzelnen Alter ermittelten Quotienten der gemäß Satz 2 bis 4 bestimmten Barwerte zu bilden. Als Ergebnis der Gegenüberstellung ist das Maximum der für die drei Altersbereiche gemäß Satz 5 ermittelten Werte anzusehen.</w:t>
      </w:r>
    </w:p>
    <w:p>
      <w:r>
        <w:t xml:space="preserve">(2) Für Krankentagegeldtarife sind bei der Gegenüberstellung gemäß Absatz 1 die Altersbereiche von 21 bis 45 Jahren sowie von 46 bis 65 Jahren zu betrachten.</w:t>
      </w:r>
    </w:p>
    <w:p>
      <w:r>
        <w:rPr>
          <w:color w:val="555555"/>
          <w:sz w:val="17"/>
        </w:rPr>
        <w:t xml:space="preserve">Zitiervorschlag: § 16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