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KVAV — Übertragungswert</w:t>
      </w:r>
    </w:p>
    <w:p>
      <w:r>
        <w:rPr>
          <w:color w:val="555555"/>
          <w:sz w:val="18"/>
        </w:rPr>
        <w:t xml:space="preserve">Krankenversicherungsaufsichtsverordnung</w:t>
      </w:r>
    </w:p>
    <w:p>
      <w:r>
        <w:rPr>
          <w:color w:val="555555"/>
          <w:sz w:val="18"/>
        </w:rPr>
        <w:t xml:space="preserve">Stand: 10.06.2019 (konsolidierte Textfassung, kein amtliches Inkrafttretensdatum)</w:t>
      </w:r>
    </w:p>
    <w:p>
      <w:r>
        <w:t xml:space="preserve">(1) Der Übertragungswert gemäß § 146 Absatz 1 Nummer 5 des Versicherungsaufsichtsgesetzes für ab dem 1. Januar 2009 abgeschlossene Verträge berechnet sich als Summe aus</w:t>
      </w:r>
    </w:p>
    <w:p>
      <w:pPr>
        <w:ind w:left="420"/>
      </w:pPr>
      <w:r>
        <w:t xml:space="preserve">1. der Alterungsrückstellung, die aus dem Beitragszuschlag nach § 149 des Versicherungsaufsichtsgesetzes entstanden ist, und</w:t>
      </w:r>
    </w:p>
    <w:p>
      <w:pPr>
        <w:ind w:left="420"/>
      </w:pPr>
      <w:r>
        <w:t xml:space="preserve">2. der Alterungsrückstellung für die gekündigten Tarife bis zur Höhe der fiktiven Alterungsrückstellung; ergibt sich ein negativer Wert, wird er durch Null ersetzt.</w:t>
      </w:r>
    </w:p>
    <w:p>
      <w:r>
        <w:t xml:space="preserve">Die Alterungsrückstellung für die gekündigten Tarife ist die gemäß § 341f Absatz 1 des Handelsgesetzbuchs berechnete Alterungsrückstellung, mindestens jedoch der Betrag der Alterungsrückstellung, der sich bei gleichmäßiger Verteilung der kalkulierten Abschluss- und Vertriebskosten, die mittels Zillmerung finanziert werden, auf die ersten fünf Versicherungsjahre ergibt. Die fiktive Alterungsrückstellung ist die Alterungsrückstellung, die sich ergeben hätte, wenn der Versicherte von Beginn an im Basistarif versichert gewesen wäre. Bei ihrer Berechnung sind die Rechnungsgrundlagen des brancheneinheitlichen Basistarifs nach § 152 des Versicherungsaufsichtsgesetzes zu verwenden.</w:t>
      </w:r>
    </w:p>
    <w:p>
      <w:r>
        <w:t xml:space="preserve">(2) Der Übertragungswert für vor dem 1. Januar 2009 abgeschlossene Verträge berechnet sich als Summe aus</w:t>
      </w:r>
    </w:p>
    <w:p>
      <w:pPr>
        <w:ind w:left="420"/>
      </w:pPr>
      <w:r>
        <w:t xml:space="preserve">1. der Alterungsrückstellung, die aus dem Beitragszuschlag nach § 149 des Versicherungsaufsichtsgesetzes entstanden ist, und</w:t>
      </w:r>
    </w:p>
    <w:p>
      <w:pPr>
        <w:ind w:left="420"/>
      </w:pPr>
      <w:r>
        <w:t xml:space="preserve">2. der Alterungsrückstellung für die gekündigten Tarife bis zur Höhe der fiktiven Alterungsrückstellung; ergibt sich ein negativer Wert, wird er durch Null ersetzt.</w:t>
      </w:r>
    </w:p>
    <w:p>
      <w:r>
        <w:t xml:space="preserve">Die Alterungsrückstellung für die gekündigten Tarife ist die gemäß § 341f Absatz 1 des Handelsgesetzbuchs berechnete Alterungsrückstellung. Die fiktive Alterungsrückstellung ist die Alterungsrückstellung, die sich ergeben hätte, wenn der Versicherte von Beginn an im Basistarif versichert gewesen wäre. Sie wird ermittelt aus dem anrechenbaren Alter des Versicherten und der zu diesem Alter und zu dem erreichten Alter gehörenden Alterungsrückstellung, die sich aus den Rechnungsgrundlagen der Erstkalkulation des brancheneinheitlichen Basistarifs gemäß § 152 des Versicherungsaufsichtsgesetzes ergibt; dabei wird ein brancheneinheitlicher Zillmersatz von drei Monatsbeiträgen zugrunde gelegt. Das anrechenbare Alter ergibt sich aus dem Vergleich der gezahlten Tarifbeiträge, ohne Berücksichtigung der aus der Rückstellung für Beitragsrückerstattung finanzierten Bestandteile, in den zum 8. Januar 2009 geführten Tarifen der substitutiven Krankenversicherung mit den dann gültigen Neugeschäftsbeiträgen.</w:t>
      </w:r>
    </w:p>
    <w:p>
      <w:r>
        <w:t xml:space="preserve">(3) Für Versicherte, die unter Mitgabe eines Übertragungswertes gemäß Absatz 1 oder 2 zu einem anderen Unternehmen gewechselt sind, darf die Finanzierung erneuter Abschlusskosten durch Zillmerung nicht zu einer Reduzierung dieses Übertragungswertes führen. Dies gilt auch für eine gleichzeitig gewechselte private Pflege-Pflichtversicherung.</w:t>
      </w:r>
    </w:p>
    <w:p>
      <w:r>
        <w:t xml:space="preserve">(4) Kündigt ein Versicherter, dessen Vertrag vor dem 1. Januar 2009 geschlossen wurde, seinen Vertrag und schließt gleichzeitig einen neuen Vertrag bei einem anderen Krankenversicherer, der die Mitgabe eines Übertragungswertes vorsieht, beschränkt sich der Übertragungswert abweichend von Absatz 2 auf den Betrag, der ab dem Wechsel in einen Tarif mit Übertragungswert aufgebaut wurde, sofern nicht Absatz 5 etwas anderes bestimmt. Der bei Wechseln aus dem Basistarif nicht gutgebrachte Teil der Alterungsrückstellung ist zugunsten der Senkung des Zuschlags gemäß § 8 Absatz 1 Nummer 7 zu verwenden.</w:t>
      </w:r>
    </w:p>
    <w:p>
      <w:r>
        <w:t xml:space="preserve">(5) Ist der Vertrag vor dem 1. Januar 2009 abgeschlossen worden und wechselt der Versicherte gemäß § 204 Absatz 1 Satz 1 des Versicherungsvertragsgesetzes in den Basistarif des eigenen oder eines anderen Versicherers, berechnet sich der Übertragungswert nach Absatz 2. Bei einer Kündigung des Vertrages, in den der Versicherte nach Satz 1 gewechselt ist, mit gleichzeitigem Abschluss einer neuen Versicherung im Basistarif eines dritten Krankenversicherers berechnet sich der Übertragungswert gemäß Absatz 1, wenn zwischen dem Abschluss des zweiten und des dritten Vertrages mindestens 18 Monate verstrichen sind. Der bei Wechseln aus dem Basistarif nicht gutgebrachte Teil der Alterungsrückstellung ist zugunsten der Senkung des Zuschlags gemäß § 8 Absatz 1 Nummer 7 zu verwenden.</w:t>
      </w:r>
    </w:p>
    <w:p>
      <w:r>
        <w:t xml:space="preserve">(6) Wechselt der Versicherte in der Pflege-Pflichtversicherung zu einem anderen Unternehmen, so gilt die Alterungsrückstellung als Übertragungswert im Sinne des § 148 Satz 2 des Versicherungsaufsichtsgesetzes.</w:t>
      </w:r>
    </w:p>
    <w:p>
      <w:r>
        <w:rPr>
          <w:color w:val="555555"/>
          <w:sz w:val="17"/>
        </w:rPr>
        <w:t xml:space="preserve">Zitiervorschlag: § 14 KVAV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https://recht.nulegal.eu/gesetze/KVAV/14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