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KUV (Bayern) — Anmeldung zum Handelsregister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Errichtung eines Kommunalunternehmens oder eines gemeinsamen Kommunalunternehmens hat dessen Vorstand beim Registergericht gemäß § 33 HGB anzumelden und dazu auch die kommunalrechtlich notwendigen Zustimmungsbeschlüsse vorzulegen.</w:t>
      </w:r>
    </w:p>
    <w:p>
      <w:r>
        <w:t xml:space="preserve">(2) Eine Verschmelzung nach Art. 49 Abs. 2 KommZG hat der Vorstand des übernehmenden Kommunalunternehmens unter Vorlage der Vereinbarung und der Zustimmungsbeschlüsse sowohl zum Handelsregister des übernehmenden als auch des übertragenden Unternehmens anzumelden.</w:t>
      </w:r>
    </w:p>
    <w:p>
      <w:r>
        <w:t xml:space="preserve">(3) Im Fall des Art. 49 Abs. 3 Satz 1 KommZG hat der Vorstand die Verschmelzung unter Vorlage der geänderten Unternehmenssatzung sowie der Zustimmungsbeschlüsse beim Registergericht anzumelden. Für die Umwandlung eines Zweckverbands in ein gemeinsames Kommunalunternehmen nach Art. 49 Abs. 3 Satz 2 KommZG gilt Abs. 1 entsprechend.</w:t>
      </w:r>
    </w:p>
    <w:p>
      <w:r>
        <w:t xml:space="preserve">(4) Für Änderungen gilt § 34 HGB entsprechend.</w:t>
      </w:r>
    </w:p>
    <w:p>
      <w:r>
        <w:t xml:space="preserve">(5) Die Vorschrift des § 22 Umwandlungsgesetz (UmwG) ist nicht entsprechend anwendbar.</w:t>
      </w:r>
    </w:p>
    <w:p>
      <w:r>
        <w:rPr>
          <w:color w:val="555555"/>
          <w:sz w:val="17"/>
        </w:rPr>
        <w:t xml:space="preserve">Zitiervorschlag: § 8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