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KUV (Bayern) — Unternehmenssatzung</w:t>
      </w:r>
    </w:p>
    <w:p>
      <w:r>
        <w:rPr>
          <w:color w:val="555555"/>
          <w:sz w:val="18"/>
        </w:rPr>
        <w:t xml:space="preserve">Verordnung über Kommunalunternehmen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Unternehmenssatzung muß neben dem gesetzlich vorgeschriebenen Mindestinhalt Bestimmungen enthalten über</w:t>
      </w:r>
    </w:p>
    <w:p>
      <w:r>
        <w:t xml:space="preserve">1. die Anzahl der Mitglieder des Verwaltungsrats,</w:t>
      </w:r>
    </w:p>
    <w:p>
      <w:r>
        <w:t xml:space="preserve">2. die Geschäftsordnung des Verwaltungsrats und des Vorstands, falls dieser aus mehr als einer Person besteht,</w:t>
      </w:r>
    </w:p>
    <w:p>
      <w:r>
        <w:t xml:space="preserve">3. die Beschlußfähigkeit des Verwaltungsrats.</w:t>
      </w:r>
    </w:p>
    <w:p>
      <w:r>
        <w:rPr>
          <w:color w:val="555555"/>
          <w:sz w:val="17"/>
        </w:rPr>
        <w:t xml:space="preserve">Zitiervorschlag: § 5 KUV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