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KUV (Bayern) — Buchführung und Kostenrechnung</w:t>
      </w:r>
    </w:p>
    <w:p>
      <w:r>
        <w:rPr>
          <w:color w:val="555555"/>
          <w:sz w:val="18"/>
        </w:rPr>
        <w:t xml:space="preserve">Verordnung über Kommunalunternehmen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Das Kommunalunternehmen führt seine Rechnung nach den Regeln der kaufmännischen doppelten Buchführung. Eine Anlagenbuchführung muß vorhanden sein.</w:t>
      </w:r>
    </w:p>
    <w:p>
      <w:r>
        <w:t xml:space="preserve">(2) Die Vorschriften des Dritten Buchs des Handelsgesetzbuchs über Buchführung, Inventar und Aufbewahrung sind anzuwenden, soweit sie nicht bereits unmittelbar gelten.</w:t>
      </w:r>
    </w:p>
    <w:p>
      <w:r>
        <w:t xml:space="preserve">(3) Das Kommunalunternehmen hat die für Kostenrechnungen erforderlichen Unterlagen zu führen und nach Bedarf Kostenrechnungen zu erstellen.</w:t>
      </w:r>
    </w:p>
    <w:p>
      <w:r>
        <w:rPr>
          <w:color w:val="555555"/>
          <w:sz w:val="17"/>
        </w:rPr>
        <w:t xml:space="preserve">Zitiervorschlag: § 20 KUV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https://recht.nulegal.eu/gesetze/KUV/20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