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KUV (Bayern) — Verwaltungsrat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 hat die Mitglieder des Verwaltungsrats erstmals vor der Errichtung des Kommunalunternehmens gemäß Art. 89 Abs. 3 Satz 4 GO zu bestellen.</w:t>
      </w:r>
    </w:p>
    <w:p>
      <w:r>
        <w:t xml:space="preserve">(2) Die Mitglieder des Verwaltungsrats haben Anspruch auf angemessene Entschädigung. Gewinnbeteiligungen dürfen ihnen nicht gewährt werden. Das Nähere regelt die Gemeinde durch die Unternehmenssatzung.</w:t>
      </w:r>
    </w:p>
    <w:p>
      <w:r>
        <w:t xml:space="preserve">(3) Vorstandsmitgliedern gegenüber vertritt das vorsitzende Mitglied des Verwaltungsrats das Kommunalunternehmen gerichtlich und außergerichtlich. Es vertritt das Kommunalunternehmen auch, wenn noch kein Vorstand vorhanden oder der Vorstand handlungsunfähig ist.</w:t>
      </w:r>
    </w:p>
    <w:p>
      <w:r>
        <w:t xml:space="preserve">(4) Soweit in Sitzungen des Verwaltungsrats Satzungen und Verordnungen beraten und beschlossen werden, die Rechte und Pflichten Dritter begründen, gilt Art. 52 GO entsprechend.</w:t>
      </w:r>
    </w:p>
    <w:p>
      <w:r>
        <w:rPr>
          <w:color w:val="555555"/>
          <w:sz w:val="17"/>
        </w:rPr>
        <w:t xml:space="preserve">Zitiervorschlag: § 2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