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KUV (Bayern) — Kassengeschäfte</w:t>
      </w:r>
    </w:p>
    <w:p>
      <w:r>
        <w:rPr>
          <w:color w:val="555555"/>
          <w:sz w:val="18"/>
        </w:rPr>
        <w:t xml:space="preserve">Verordnung über Kommunalunternehmen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Anordnung und die Ausführung finanzwirksamer Vorgänge sind personell und organisatorisch zu trennen. Die mit diesen Aufgaben Betrauten dürfen nicht durch ein Angehörigenverhältnis im Sinn des Art. 20 Abs. 5 des Bayerischen Verwaltungsverfahrensgesetzes verbunden sein.</w:t>
      </w:r>
    </w:p>
    <w:p>
      <w:r>
        <w:rPr>
          <w:color w:val="555555"/>
          <w:sz w:val="17"/>
        </w:rPr>
        <w:t xml:space="preserve">Zitiervorschlag: § 12 KUV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https://recht.nulegal.eu/gesetze/KUV/12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