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KTPV (Brandenburg) — Gewöhnlicher Aufenthalt bei eigenständiger Feststellung der personenbezogenen Eignung der Kindertagespflegeperson</w:t>
      </w:r>
    </w:p>
    <w:p>
      <w:r>
        <w:rPr>
          <w:color w:val="555555"/>
          <w:sz w:val="18"/>
        </w:rPr>
        <w:t xml:space="preserve">Kindertagespflegeverordnung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für die Bestimmung der örtlichen Zuständigkeit des örtlichen Trägers der öffentlichen Jugendhilfe maßgebliche gewöhnliche Aufenthalt der Kindertagespflegeperson im Fall des § 25 Absatz 2 Satz 2 des Kindertagesstättengesetzes richtet sich</w:t>
      </w:r>
    </w:p>
    <w:p>
      <w:r>
        <w:t xml:space="preserve">nach der Meldeadresse oder,</w:t>
      </w:r>
    </w:p>
    <w:p>
      <w:r>
        <w:t xml:space="preserve">wenn tatsächliche Umstände erkennen lassen, dass sich die Kindertagespflegeperson an einem anderen Ort oder Gebiet nicht nur vorübergehend aufhält, nach diesem.</w:t>
      </w:r>
    </w:p>
    <w:p>
      <w:r>
        <w:t xml:space="preserve">(2) Für Personen, die außerhalb des Landes Brandenburg wohnhaft sind, wird abweichend von Absatz 1 vermutet, dass sie sich gewöhnlich am Standort der Räumlichkeiten im Sinne von § 25 Absatz 2 Satz 1 des Kindertagesstättengesetzes aufhalten.</w:t>
      </w:r>
    </w:p>
    <w:p>
      <w:r>
        <w:rPr>
          <w:color w:val="555555"/>
          <w:sz w:val="17"/>
        </w:rPr>
        <w:t xml:space="preserve">Zitiervorschlag: § 5 KTPV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https://recht.nulegal.eu/gesetze/KTPV/5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