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KTPV (Brandenburg) — Inkrafttreten, Außerkrafttreten</w:t>
      </w:r>
    </w:p>
    <w:p>
      <w:r>
        <w:rPr>
          <w:color w:val="555555"/>
          <w:sz w:val="18"/>
        </w:rPr>
        <w:t xml:space="preserve">Kindertagespflegeverordnung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Kindertagespflegeeignungsverordnung vom 13. Juli 2009 (GVBl. II S. 438, 439) außer Kraft.</w:t>
      </w:r>
    </w:p>
    <w:p>
      <w:r>
        <w:t xml:space="preserve">Potsdam, den 26. August 2024</w:t>
      </w:r>
    </w:p>
    <w:p>
      <w:r>
        <w:t xml:space="preserve">Der Minister für Bildung,</w:t>
      </w:r>
    </w:p>
    <w:p>
      <w:r>
        <w:t xml:space="preserve">Jugend und Sport</w:t>
      </w:r>
    </w:p>
    <w:p>
      <w:r>
        <w:t xml:space="preserve">Steffen Freiberg</w:t>
      </w:r>
    </w:p>
    <w:p>
      <w:r>
        <w:rPr>
          <w:color w:val="555555"/>
          <w:sz w:val="17"/>
        </w:rPr>
        <w:t xml:space="preserve">Zitiervorschlag: § 20 KTPV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https://recht.nulegal.eu/gesetze/KTPV/20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