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KTPV (Brandenburg) — Anforderungen an den Betreuungsvertrag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 den zu berücksichtigenden besonderen Anforderungen an die Betreuung und Versorgung gemäß § 39 Absatz 1 Satz 2 Nummer 3 des Kindertagesstättengesetzes können insbesondere bestehende Allergien und Unverträglichkeiten der betreuten Kinder zählen.</w:t>
      </w:r>
    </w:p>
    <w:p>
      <w:r>
        <w:t xml:space="preserve">(2) Im Rahmen der Anzeige der Vertretungssituation gemäß § 39 Absatz 1 Satz 2 Nummer 9 des Kindertagesstättengesetzes ist darzustellen, welche konkrete Kindertagespflegeperson, -personen oder Kindertagesstätte im Vertretungsfall die Vertretung wahrnehmen sollen und in welchem Zeitrahmen ein Kennenlernen mit dem betreuten Kind stattfindet.</w:t>
      </w:r>
    </w:p>
    <w:p>
      <w:r>
        <w:t xml:space="preserve">(3) Im Betreuungsvertrag können die Personensorgeberechtigten gemäß § 6a Absatz 6 Satz 3 des Kindertagesstättengesetzes ihre Bereitschaft erklären, an der Wahl gemäß § 6a Absatz 6 des Kindertagesstättengesetzes mitzuwirken. Die Personensorgeberechtigten können erklären, auf die Möglichkeit der Elternbeteiligung nach § 6a Absatz 6 des Kindertagesstättengesetzes zu verzichten. Sie können den Verzicht auf die Elternbeteiligung nach Satz 2 jederzeit widerrufen. Die Kindertagespflegeperson informiert den örtlichen Träger der öffentlichen Jugendhilfe über die Bereitschaft zur Mitwirkung nach Satz 1, die Erklärung des Verzichts nach Satz 2 und den Widerruf des Verzichts nach Satz 3. Das Betreuungsverhältnis darf nicht von einem Verzicht nach Satz 2 abhängig gemacht werden.</w:t>
      </w:r>
    </w:p>
    <w:p>
      <w:r>
        <w:rPr>
          <w:color w:val="555555"/>
          <w:sz w:val="17"/>
        </w:rPr>
        <w:t xml:space="preserve">Zitiervorschlag: § 15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