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KTPV (Brandenburg) — Anforderungen an die Feststellung der Eignung der Räume</w:t>
      </w:r>
    </w:p>
    <w:p>
      <w:r>
        <w:rPr>
          <w:color w:val="555555"/>
          <w:sz w:val="18"/>
        </w:rPr>
        <w:t xml:space="preserve">Kindertagespflegeverordnung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Gemäß § 31 Absatz 2 des Kindertagesstättengesetzes sind verkehrsübliche Nachweise darüber vorzulegen, dass die Räume gemäß § 30 Absatz 4 des Kindertagesstättengesetzes mindestens für die geplante Dauer der Ausübung der Kindertagespflege zur Verfügung stehen, sowie der Nachweis zur Inhaberschaft des alleinigen Hausrechts während der Betreuungszeit. Erforderliche Nachweise im Sinne des § 31 Absatz 2 Satz 1 des Kindertagesstättengesetzes sind insbesondere</w:t>
      </w:r>
    </w:p>
    <w:p>
      <w:r>
        <w:t xml:space="preserve">Mietverträge,</w:t>
      </w:r>
    </w:p>
    <w:p>
      <w:r>
        <w:t xml:space="preserve">Kaufverträge,</w:t>
      </w:r>
    </w:p>
    <w:p>
      <w:r>
        <w:t xml:space="preserve">Eintragungen im Grundbuch und Grundrisse,</w:t>
      </w:r>
    </w:p>
    <w:p>
      <w:r>
        <w:t xml:space="preserve">Pachtverträge bei Außengelände und</w:t>
      </w:r>
    </w:p>
    <w:p>
      <w:r>
        <w:t xml:space="preserve">weitere erforderliche Angaben, Erklärungen und Genehmigungen.</w:t>
      </w:r>
    </w:p>
    <w:p>
      <w:r>
        <w:rPr>
          <w:color w:val="555555"/>
          <w:sz w:val="17"/>
        </w:rPr>
        <w:t xml:space="preserve">Zitiervorschlag: § 13 KTPV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https://recht.nulegal.eu/gesetze/KTPV/13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