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KStoffVerfMAusbV 2012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Auf Grund des § 4 Absatz 1 in Verbindung mit § 5 des Berufsbildungsgesetzes, von denen § 4 Absatz 1 durch Artikel 232 Nummer 1 der Verordnung vom 31. Oktober 2006 (BGBl. I S. 2407)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