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KStoffVerfMAusbV 2012 — Struktur der Berufsausbildung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Die Berufsausbildung gliedert sich in gemeinsame Ausbildungsinhalte und in die Ausbildung in einer der Fachrichtungen</w:t>
      </w:r>
    </w:p>
    <w:p>
      <w:pPr>
        <w:ind w:left="420"/>
      </w:pPr>
      <w:r>
        <w:t xml:space="preserve">1. Formteile,</w:t>
      </w:r>
    </w:p>
    <w:p>
      <w:pPr>
        <w:ind w:left="420"/>
      </w:pPr>
      <w:r>
        <w:t xml:space="preserve">2. Halbzeuge,</w:t>
      </w:r>
    </w:p>
    <w:p>
      <w:pPr>
        <w:ind w:left="420"/>
      </w:pPr>
      <w:r>
        <w:t xml:space="preserve">3. Mehrschichtkautschukteile,</w:t>
      </w:r>
    </w:p>
    <w:p>
      <w:pPr>
        <w:ind w:left="420"/>
      </w:pPr>
      <w:r>
        <w:t xml:space="preserve">4. Compound- und Masterbatchherstellung,</w:t>
      </w:r>
    </w:p>
    <w:p>
      <w:pPr>
        <w:ind w:left="420"/>
      </w:pPr>
      <w:r>
        <w:t xml:space="preserve">5. Bauteile,</w:t>
      </w:r>
    </w:p>
    <w:p>
      <w:pPr>
        <w:ind w:left="420"/>
      </w:pPr>
      <w:r>
        <w:t xml:space="preserve">6. Faserverbundtechnologie,</w:t>
      </w:r>
    </w:p>
    <w:p>
      <w:pPr>
        <w:ind w:left="420"/>
      </w:pPr>
      <w:r>
        <w:t xml:space="preserve">7. Kunststofffenster.</w:t>
      </w:r>
    </w:p>
    <w:p>
      <w:r>
        <w:rPr>
          <w:color w:val="555555"/>
          <w:sz w:val="17"/>
        </w:rPr>
        <w:t xml:space="preserve">Zitiervorschlag: § 3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