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KStoffVerfMAusbV 2012 — Gewichtungs- und Bestehensregelungen in der Fachrichtung Faserverbundtechnologie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 Herstellenvon Faserverbundbauteilen    35 Prozent,</w:t>
      </w:r>
    </w:p>
    <w:p>
      <w:r>
        <w:rPr>
          <w:rFonts w:ascii="Courier New" w:hAnsi="Courier New"/>
          <w:sz w:val="17"/>
        </w:rPr>
        <w:t xml:space="preserve">PrüfungsbereichVerfahrenstechnische Systeme    20 Prozent,</w:t>
      </w:r>
    </w:p>
    <w:p>
      <w:r>
        <w:rPr>
          <w:rFonts w:ascii="Courier New" w:hAnsi="Courier New"/>
          <w:sz w:val="17"/>
        </w:rPr>
        <w:t xml:space="preserve">PrüfungsbereichProduktionsplanung und -analyse    10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29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