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KStoffVerfMAusbV 2012 — Gewichtungs- und Bestehensregelungen in der Fachrichtung Bauteile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einzelnen Prüfungsbereiche sind wie folgt zu gewichten:</w:t>
      </w:r>
    </w:p>
    <w:p>
      <w:r>
        <w:rPr>
          <w:rFonts w:ascii="Courier New" w:hAnsi="Courier New"/>
          <w:sz w:val="17"/>
        </w:rPr>
        <w:t xml:space="preserve">Prüfungsbereich Herstelleneiner mechanischen Baugruppe    25 Prozent,</w:t>
      </w:r>
    </w:p>
    <w:p>
      <w:r>
        <w:rPr>
          <w:rFonts w:ascii="Courier New" w:hAnsi="Courier New"/>
          <w:sz w:val="17"/>
        </w:rPr>
        <w:t xml:space="preserve">Prüfungsbereich Fertigungsauftrag    30 Prozent,</w:t>
      </w:r>
    </w:p>
    <w:p>
      <w:r>
        <w:rPr>
          <w:rFonts w:ascii="Courier New" w:hAnsi="Courier New"/>
          <w:sz w:val="17"/>
        </w:rPr>
        <w:t xml:space="preserve">PrüfungsbereichReparieren und Instandsetzen    15 Prozent,</w:t>
      </w:r>
    </w:p>
    <w:p>
      <w:r>
        <w:rPr>
          <w:rFonts w:ascii="Courier New" w:hAnsi="Courier New"/>
          <w:sz w:val="17"/>
        </w:rPr>
        <w:t xml:space="preserve">Prüfungsbereich Fertigungstechnikund technische Kommunikation    20 Prozent,</w:t>
      </w:r>
    </w:p>
    <w:p>
      <w:r>
        <w:rPr>
          <w:rFonts w:ascii="Courier New" w:hAnsi="Courier New"/>
          <w:sz w:val="17"/>
        </w:rPr>
        <w:t xml:space="preserve">PrüfungsbereichWirtschafts- und Sozialkunde    10 Prozent.</w:t>
      </w:r>
    </w:p>
    <w:p>
      <w:pPr>
        <w:ind w:left="420"/>
      </w:pPr>
      <w:r>
        <w:t xml:space="preserve">5. (2) Die Abschlussprüfung ist bestanden, wenn die Leistungen</w:t>
      </w:r>
    </w:p>
    <w:p>
      <w:pPr>
        <w:ind w:left="420"/>
      </w:pPr>
      <w:r>
        <w:t xml:space="preserve">1. im Gesamtergebnis von Teil 1 und Teil 2 der Abschlussprüfung mit mindestens „ausreichend“,</w:t>
      </w:r>
    </w:p>
    <w:p>
      <w:pPr>
        <w:ind w:left="420"/>
      </w:pPr>
      <w:r>
        <w:t xml:space="preserve">2. im Ergebnis von Teil 2 der Abschlussprüfung mit mindestens „ausreichend“,</w:t>
      </w:r>
    </w:p>
    <w:p>
      <w:pPr>
        <w:ind w:left="420"/>
      </w:pPr>
      <w:r>
        <w:t xml:space="preserve">3. in mindestens drei Prüfungsbereichen von Teil 2 der Abschlussprüfung mit mindestens „ausreichend“ und</w:t>
      </w:r>
    </w:p>
    <w:p>
      <w:pPr>
        <w:ind w:left="420"/>
      </w:pPr>
      <w:r>
        <w:t xml:space="preserve">4. in keinem Prüfungsbereich von Teil 2 der Abschlussprüfung mit „ungenügend“</w:t>
      </w:r>
    </w:p>
    <w:p>
      <w:r>
        <w:t xml:space="preserve">bewertet worden sind.</w:t>
      </w:r>
    </w:p>
    <w:p>
      <w:r>
        <w:t xml:space="preserve">(3) 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25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