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KStoffVerfMAusbV 2012 — Abschlussprüfung in der Fachrichtung Bauteile</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Fertigkeiten, Kenntnisse und Fähigkeiten, die bereits Gegenstand von Teil 1 der Abschlussprüfung waren, in Teil 2 der Abschlussprüfung nur insoweit einbezogen werden, als es für die Feststellung der Berufsbefähigung erforderlich ist.</w:t>
      </w:r>
    </w:p>
    <w:p>
      <w:r>
        <w:t xml:space="preserve">(2) Bei der Ermittlung des Gesamtergebnisses wird Teil 1 der Abschlussprüfung mit 25 Prozent und Teil 2 der Abschlussprüfung mit 75 Prozent gewichtet.</w:t>
      </w:r>
    </w:p>
    <w:p>
      <w:r>
        <w:rPr>
          <w:color w:val="555555"/>
          <w:sz w:val="17"/>
        </w:rPr>
        <w:t xml:space="preserve">Zitiervorschlag: § 22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