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KStoffVerfMAusbV 2012 — Gewichtungs- und Bestehensregelungen in der Fachrichtung Compound- und Masterbatchherstellung</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 Herstellen vonCompounds und Masterbatches    30 Prozent,</w:t>
      </w:r>
    </w:p>
    <w:p>
      <w:r>
        <w:rPr>
          <w:rFonts w:ascii="Courier New" w:hAnsi="Courier New"/>
          <w:sz w:val="17"/>
        </w:rPr>
        <w:t xml:space="preserve">PrüfungsbereichVerfahrenstechnische Systeme    20 Prozent,</w:t>
      </w:r>
    </w:p>
    <w:p>
      <w:r>
        <w:rPr>
          <w:rFonts w:ascii="Courier New" w:hAnsi="Courier New"/>
          <w:sz w:val="17"/>
        </w:rPr>
        <w:t xml:space="preserve">Prüfungsbereich Kunststoffprüfungund Qualitätsmanagement    15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21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