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Fenster-, Tür- oder Fassadenelementen“    mit 35 Prozent,</w:t>
      </w:r>
    </w:p>
    <w:p>
      <w:r>
        <w:rPr>
          <w:rFonts w:ascii="Courier New" w:hAnsi="Courier New"/>
          <w:sz w:val="17"/>
        </w:rPr>
        <w:t xml:space="preserve">„Fertigungstechnik“    mit 20 Prozent,</w:t>
      </w:r>
    </w:p>
    <w:p>
      <w:r>
        <w:rPr>
          <w:rFonts w:ascii="Courier New" w:hAnsi="Courier New"/>
          <w:sz w:val="17"/>
        </w:rPr>
        <w:t xml:space="preserve">„Produktionsplanung und -analyse“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64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63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