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„Fertigungsauftrag“    mit 30 Prozent,</w:t>
      </w:r>
    </w:p>
    <w:p>
      <w:r>
        <w:rPr>
          <w:rFonts w:ascii="Courier New" w:hAnsi="Courier New"/>
          <w:sz w:val="17"/>
        </w:rPr>
        <w:t xml:space="preserve">„Reparieren und Instandsetzen“    mit 15 Prozent,</w:t>
      </w:r>
    </w:p>
    <w:p>
      <w:r>
        <w:rPr>
          <w:rFonts w:ascii="Courier New" w:hAnsi="Courier New"/>
          <w:sz w:val="17"/>
        </w:rPr>
        <w:t xml:space="preserve">„Fertigungstechnik und technische Kommunikation“    mit 20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48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47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