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KStoffTechAusbV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einer mechanischen Baugruppe“    mit 25 Prozent,</w:t>
      </w:r>
    </w:p>
    <w:p>
      <w:r>
        <w:rPr>
          <w:rFonts w:ascii="Courier New" w:hAnsi="Courier New"/>
          <w:sz w:val="17"/>
        </w:rPr>
        <w:t xml:space="preserve">„Herstellen von Compounds und Masterbatches“    mit 30 Prozent,</w:t>
      </w:r>
    </w:p>
    <w:p>
      <w:r>
        <w:rPr>
          <w:rFonts w:ascii="Courier New" w:hAnsi="Courier New"/>
          <w:sz w:val="17"/>
        </w:rPr>
        <w:t xml:space="preserve">„Verfahrenstechnische Systeme“    mit 20 Prozent,</w:t>
      </w:r>
    </w:p>
    <w:p>
      <w:r>
        <w:rPr>
          <w:rFonts w:ascii="Courier New" w:hAnsi="Courier New"/>
          <w:sz w:val="17"/>
        </w:rPr>
        <w:t xml:space="preserve">„Kunststoffprüfung und Qualitätsmanagement“    mit 15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40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sowie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39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