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KStoffTechAusbV — Inhalt des Teiles 2</w:t>
      </w:r>
    </w:p>
    <w:p>
      <w:r>
        <w:rPr>
          <w:color w:val="555555"/>
          <w:sz w:val="18"/>
        </w:rPr>
        <w:t xml:space="preserve">Verordnung über die Berufsausbildung zum Kunststoff- und Kautschuktechnologen und zur Kunststoff- und Kautschuktechnologin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Teil 2 der Abschlussprüfung erstreckt sich auf</w:t>
      </w:r>
    </w:p>
    <w:p>
      <w:pPr>
        <w:ind w:left="420"/>
      </w:pPr>
      <w:r>
        <w:t xml:space="preserve">1. die im Ausbildungsrahmenplan in der Anlage 1 Abschnitt A, E und I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t xml:space="preserve">(2) In Teil 2 der Abschlussprüfung sollen Fertigkeiten, Kenntnisse und Fähigkeiten, die bereits Gegenstand von Teil 1 der Abschlussprüfung waren, nur insoweit einbezogen werden, als es für die Feststellung der beruflichen Handlungsfähigkeit erforderlich ist.</w:t>
      </w:r>
    </w:p>
    <w:p>
      <w:r>
        <w:rPr>
          <w:color w:val="555555"/>
          <w:sz w:val="17"/>
        </w:rPr>
        <w:t xml:space="preserve">Zitiervorschlag: § 33 KStoffTechAusbV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https://recht.nulegal.eu/gesetze/KStoffTechAusbV/33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