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KStoffTechAusbV — Prüfungsbereich „Verfahrenstechnische Systeme“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„Verfahrenstechnische Systeme“ hat der Prüfling nachzuweisen, dass er in der Lage ist,</w:t>
      </w:r>
    </w:p>
    <w:p>
      <w:pPr>
        <w:ind w:left="420"/>
      </w:pPr>
      <w:r>
        <w:t xml:space="preserve">1. Bearbeitungs- und Verarbeitungsverfahren zu unterscheiden und nach materialspezifischen, technischen, betriebswirtschaftlichen und ökologischen Gesichtspunkten zu bewerten, auszuwählen und einzusetzen,</w:t>
      </w:r>
    </w:p>
    <w:p>
      <w:pPr>
        <w:ind w:left="420"/>
      </w:pPr>
      <w:r>
        <w:t xml:space="preserve">2. Eigenschaften polymerer Werkstoffe zu ermitteln und zu bewerten sowie Werk- und Hilfsstoffe dem Verwendungszweck zuzuordnen,</w:t>
      </w:r>
    </w:p>
    <w:p>
      <w:pPr>
        <w:ind w:left="420"/>
      </w:pPr>
      <w:r>
        <w:t xml:space="preserve">3. qualitätssichernde Maßnahmen durchzuführen; Ergebnisse zu überprüfen, zu optimieren und zu dokumentieren sowie Arbeitssicherheits- und Umweltschutzvorschriften anzuwenden,</w:t>
      </w:r>
    </w:p>
    <w:p>
      <w:pPr>
        <w:ind w:left="420"/>
      </w:pPr>
      <w:r>
        <w:t xml:space="preserve">4. Komponenten der Mess-, Steuerungs- und Regelungstechnik zu unterscheiden und anwendungsspezifisch zuzuordnen sowie Störungen in steuerungstechnischen Systemen einzugrenzen,</w:t>
      </w:r>
    </w:p>
    <w:p>
      <w:pPr>
        <w:ind w:left="420"/>
      </w:pPr>
      <w:r>
        <w:t xml:space="preserve">5. Halbzeuge aufgrund von technischen Teil-, Gruppen- und Gesamtzeichnungen zu erkennen, Skizzen zu erstellen,</w:t>
      </w:r>
    </w:p>
    <w:p>
      <w:pPr>
        <w:ind w:left="420"/>
      </w:pPr>
      <w:r>
        <w:t xml:space="preserve">6. verfahrensbezogene Berechnungen durchzuführen und</w:t>
      </w:r>
    </w:p>
    <w:p>
      <w:pPr>
        <w:ind w:left="420"/>
      </w:pPr>
      <w:r>
        <w:t xml:space="preserve">7. Maßnahmen der Wartung und Instandhaltung zu bewerten, auszuwählen und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150 Minuten.</w:t>
      </w:r>
    </w:p>
    <w:p>
      <w:r>
        <w:rPr>
          <w:color w:val="555555"/>
          <w:sz w:val="17"/>
        </w:rPr>
        <w:t xml:space="preserve">Zitiervorschlag: § 20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