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Halbzeugen“,</w:t>
      </w:r>
    </w:p>
    <w:p>
      <w:pPr>
        <w:ind w:left="420"/>
      </w:pPr>
      <w:r>
        <w:t xml:space="preserve">2. „Verfahrenstechnische Systeme“,</w:t>
      </w:r>
    </w:p>
    <w:p>
      <w:pPr>
        <w:ind w:left="420"/>
      </w:pPr>
      <w:r>
        <w:t xml:space="preserve">3. „Produktionsplanung und -analyse“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