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KStoffTechAusbV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09.09.2023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„Herstellen einer mechanischen Baugruppe“    mit 25 Prozent,</w:t>
      </w:r>
    </w:p>
    <w:p>
      <w:r>
        <w:rPr>
          <w:rFonts w:ascii="Courier New" w:hAnsi="Courier New"/>
          <w:sz w:val="17"/>
        </w:rPr>
        <w:t xml:space="preserve">„Herstellen von Formteilen“    mit 35 Prozent,</w:t>
      </w:r>
    </w:p>
    <w:p>
      <w:r>
        <w:rPr>
          <w:rFonts w:ascii="Courier New" w:hAnsi="Courier New"/>
          <w:sz w:val="17"/>
        </w:rPr>
        <w:t xml:space="preserve">„Verfahrenstechnische Systeme“    mit 20 Prozent,</w:t>
      </w:r>
    </w:p>
    <w:p>
      <w:r>
        <w:rPr>
          <w:rFonts w:ascii="Courier New" w:hAnsi="Courier New"/>
          <w:sz w:val="17"/>
        </w:rPr>
        <w:t xml:space="preserve">„Produktionsplanung und -analyse“    mit 10 Prozent</w:t>
      </w:r>
    </w:p>
    <w:p>
      <w:pPr>
        <w:ind w:left="420"/>
      </w:pPr>
      <w:r>
        <w:t xml:space="preserve">4.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5. (2) Die Abschlussprüfung ist bestanden, wenn die Prüfungsleistungen – auch unter Berücksichtigung einer mündlichen Ergänzungsprüfung nach § 16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in mindestens drei Prüfungsbereichen von Teil 2 mit mindestens „ausreichend“ und</w:t>
      </w:r>
    </w:p>
    <w:p>
      <w:pPr>
        <w:ind w:left="420"/>
      </w:pPr>
      <w:r>
        <w:t xml:space="preserve">4. in keinem Prüfungsbereich von Teil 2 mit „ungenügend“.</w:t>
      </w:r>
    </w:p>
    <w:p>
      <w:r>
        <w:rPr>
          <w:color w:val="555555"/>
          <w:sz w:val="17"/>
        </w:rPr>
        <w:t xml:space="preserve">Zitiervorschlag: § 15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