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KStTG — Meldepflicht</w:t>
      </w:r>
    </w:p>
    <w:p>
      <w:r>
        <w:rPr>
          <w:color w:val="555555"/>
          <w:sz w:val="18"/>
        </w:rPr>
        <w:t xml:space="preserve">Kryptowerte-Steuertransparenz-Gesetz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Anbieter haben in Bezug auf zu meldende Nutzer und zu meldende beherrschende Personen jährlich spätestens zum 31. Juli für den jeweils vorangegangenen Meldezeitraum die in § 11 genannten Informationen gemäß den Vorgaben des § 12 Satz 1 an das Bundeszentralamt für Steuern zu melden. Die Meldepflicht nach Satz 1 besteht nicht für einen Kryptowerte-Betreiber in Bezug auf einen zu meldenden Nutzer oder eine zu meldende beherrschende Person, für den oder die der Kryptowerte-Betreiber die in § 11 genannten Informationen in einem Drittstaat meldet, der mit dem Ansässigkeitsstaat des zu meldenden Nutzers oder der zu meldenden beherrschenden Person eine qualifizierende Vereinbarung hat.</w:t>
      </w:r>
    </w:p>
    <w:p>
      <w:r>
        <w:t xml:space="preserve">(2) Stellt ein Anbieter fest, dass eine Meldung nach Absatz 1 Satz 1 unterblieben ist, so hat er die Meldung unverzüglich nach Erlangung der Kenntnis von der unterbliebenen Meldung vollständig nachzuholen. Dies gilt auch, wenn der Anbieter feststellt, dass er den Kryptowerte-Nutzer oder die beherrschende Person nicht als zu meldende Person identifiziert hatte.</w:t>
      </w:r>
    </w:p>
    <w:p>
      <w:r>
        <w:t xml:space="preserve">(3) Stellt ein Anbieter fest, dass eine Meldung nach Absatz 1 Satz 1 fehlerhaft war, so hat er die Meldung unverzüglich nach Erlangung der Kenntnis hierüber zu korrigieren.</w:t>
      </w:r>
    </w:p>
    <w:p>
      <w:r>
        <w:rPr>
          <w:color w:val="555555"/>
          <w:sz w:val="17"/>
        </w:rPr>
        <w:t xml:space="preserve">Zitiervorschlag: § 9 KStTG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