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KStTG — Frist zur Erfüllung der Sorgfaltspflichten</w:t>
      </w:r>
    </w:p>
    <w:p>
      <w:r>
        <w:rPr>
          <w:color w:val="555555"/>
          <w:sz w:val="18"/>
        </w:rPr>
        <w:t xml:space="preserve">Kryptowerte-Steuertransparenz-Gesetz</w:t>
      </w:r>
    </w:p>
    <w:p>
      <w:r>
        <w:rPr>
          <w:color w:val="555555"/>
          <w:sz w:val="18"/>
        </w:rPr>
        <w:t xml:space="preserve">Stand: 24.12.2025 (konsolidierte Textfassung, kein amtliches Inkrafttretensdatum)</w:t>
      </w:r>
    </w:p>
    <w:p>
      <w:r>
        <w:t xml:space="preserve">(1) Der Anbieter hat die Maßnahmen nach den §§ 4 bis 6 vor der Durchführung von zu meldenden Transaktionen abzuschließen. Treten die Voraussetzungen von § 4 Absatz 2 nach Aufnahme der Geschäftsbeziehungen ein, so gilt die Frist nach § 4 Absatz 2 Satz 1.</w:t>
      </w:r>
    </w:p>
    <w:p>
      <w:r>
        <w:t xml:space="preserve">(2) Bei einem Kryptowerte-Nutzer, der bis zum 31. Dezember 2025 eine Geschäftsbeziehung mit dem Anbieter eingegangen ist, hat der Anbieter die Maßnahmen nach den §§ 4 bis 6 bis zum 1. Januar 2027 abzuschließen.</w:t>
      </w:r>
    </w:p>
    <w:p>
      <w:r>
        <w:rPr>
          <w:color w:val="555555"/>
          <w:sz w:val="17"/>
        </w:rPr>
        <w:t xml:space="preserve">Zitiervorschlag: § 7 KStTG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