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KStTG — Verfahren zur Identifizierung von Rechtsträgern als zu meldende Nutzer und von beherrschenden Personen als zu meldende beherrschende Personen</w:t>
      </w:r>
    </w:p>
    <w:p>
      <w:r>
        <w:rPr>
          <w:color w:val="555555"/>
          <w:sz w:val="18"/>
        </w:rPr>
        <w:t xml:space="preserve">Kryptowerte-Steuertransparenz-Gesetz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(1) § 4 gilt in Bezug auf Geschäftsbeziehungen mit Kryptowerte-Nutzern, die Rechtsträger sind, entsprechend.</w:t>
      </w:r>
    </w:p>
    <w:p>
      <w:r>
        <w:t xml:space="preserve">(2) Enthält die Selbstauskunft Hinweise darauf, dass der Kryptowerte-Nutzer im Sinne des Absatzes 1 in einem Mitgliedstaat der Europäischen Union oder einem Drittstaat, mit dem eine qualifizierende Vereinbarung besteht, ansässig ist, so muss der Anbieter diesen Kryptowerte-Nutzer als zu meldenden Nutzer behandeln. Satz 1 gilt nicht, wenn der Anbieter entweder anhand der Selbstauskunft oder in seiner Verfügungsmacht stehender oder öffentlich verfügbarer Informationen vernünftigerweise annehmen kann, dass es sich bei dem Kryptowerte-Nutzer um eine ausgenommene Person handelt.</w:t>
      </w:r>
    </w:p>
    <w:p>
      <w:r>
        <w:t xml:space="preserve">(3) Bei einem Kryptowerte-Nutzer, der ein Rechtsträger und keine ausgenommene Person ist, hat der Anbieter unter Beachtung der Fristen nach § 7 festzustellen, ob der Kryptowerte-Nutzer eine oder mehrere beherrschende Personen hat. Satz 1 gilt nicht, wenn der Anbieter aufgrund der Selbstauskunft des Kryptowerte-Nutzers feststellt, dass es sich bei diesem um einen aktiven Rechtsträger handelt. Zur Feststellung nach Satz 1 kann ein Anbieter Informationen heranziehen, die er im Rahmen der Erfüllung der allgemeinen Sorgfaltspflichten nach § 10 Absatz 1 Nummer 2 des Geldwäschegesetzes oder nach vergleichbaren Vorschriften, denen der Anbieter in einem anderen Staat unterliegt, erhebt und verwahrt. Unterliegt der Anbieter nicht den Sorgfaltspflichten nach § 10 Absatz 1 Nummer 2 des Geldwäschegesetzes oder vergleichbaren Vorschriften in einem anderen Staat, so ist er verpflichtet, die Feststellung nach Satz 1 entsprechend § 10 Absatz 1 Nummer 2 des Geldwäschegesetzes vorzunehmen. In Bezug auf das Verfahren zur Identifizierung einer beherrschenden Person als zu meldende beherrschende Person gilt § 4 entsprechend.</w:t>
      </w:r>
    </w:p>
    <w:p>
      <w:r>
        <w:rPr>
          <w:color w:val="555555"/>
          <w:sz w:val="17"/>
        </w:rPr>
        <w:t xml:space="preserve">Zitiervorschlag: § 5 KStTG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