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KStTG — Verfahren zur Identifizierung natürlicher Personen als zu meldende Nutzer</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Der Anbieter muss unter Beachtung der Fristen nach § 7 von einem Kryptowerte-Nutzer, der eine natürliche Person ist, eine gültige Selbstauskunft beschaffen, die es dem Anbieter ermöglicht, die steuerlichen Ansässigkeiten des Kryptowerte-Nutzers zu bestimmen. Der Kryptowerte-Nutzer ist zur Erteilung der Selbstauskunft innerhalb einer vom Anbieter gesetzten, angemessenen Frist verpflichtet. Der Anbieter muss unter Beachtung der Fristen nach § 7 die Plausibilität der Angaben der Selbstauskunft überprüfen und hat dafür alle erhaltenen Informationen heranzuziehen. Dazu gehören auch die im Rahmen der Erfüllung der allgemeinen Sorgfaltspflichten nach § 10 Absatz 1 Nummer 1 des Geldwäschegesetzes oder nach vergleichbaren Vorschriften zur Identifizierung des Vertragspartners und gegebenenfalls der für ihn auftretenden Personen, denen der Anbieter in einem anderen Staat unterliegt, erhobenen und verwahrten Informationen. Soweit erforderlich und angemessen, darf eine Weiterverarbeitung bereits erhobener Informationen zum Zweck der Überprüfung erfolgen.</w:t>
      </w:r>
    </w:p>
    <w:p>
      <w:r>
        <w:t xml:space="preserve">(2) Erlangt der Anbieter Kenntnis von einer Änderung der Umstände des Kryptowerte-Nutzers und ist dem Anbieter aufgrund dessen bekannt oder müsste ihm aufgrund dessen bekannt sein, dass die ursprüngliche Selbstauskunft nicht oder nicht mehr zutreffend oder unglaubwürdig ist, so hat der Anbieter unverzüglich nach Kenntniserlangung eine neue Selbstauskunft oder eine Erklärung mit Belegen dafür, dass die ursprüngliche Selbstauskunft weiterhin gültig ist, zu beschaffen. Satz 1 gilt auch, wenn die Änderung der Umstände nach Aufnahme der Geschäftsbeziehung auftritt. Der Kryptowerte-Nutzer ist verpflichtet, innerhalb einer vom Anbieter gesetzten, angemessenen Frist erneut eine Selbstauskunft zu erteilen oder die Erklärung nach Satz 1 einschließlich der Belege abzugeben.</w:t>
      </w:r>
    </w:p>
    <w:p>
      <w:r>
        <w:t xml:space="preserve">(3) Ein Anbieter kann sich auch auf eine bereits zu anderen Steuerzwecken beschaffte Selbstauskunft berufen, sofern diese die Voraussetzungen des § 6 erfüllt. Ein Anbieter, der ein Finanzinstitut ist, kann sich zum Zweck der in diesem Abschnitt genannten Sorgfaltspflichten auf die von ihm nach den §§ 9 bis 18 des Finanzkonten-Informationsaustauschgesetzes durchzuführenden Sorgfaltspflichten berufen.</w:t>
      </w:r>
    </w:p>
    <w:p>
      <w:r>
        <w:t xml:space="preserve">(4) Ein Anbieter kann zur Erfüllung der Verpflichtungen nach diesem Abschnitt Fremddienstleister in Anspruch nehmen. Die Verantwortung für die Erfüllung der Verpflichtungen bleibt jedoch bei dem Anbieter.</w:t>
      </w:r>
    </w:p>
    <w:p>
      <w:r>
        <w:rPr>
          <w:color w:val="555555"/>
          <w:sz w:val="17"/>
        </w:rPr>
        <w:t xml:space="preserve">Zitiervorschlag: § 4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