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KStTG — Anwendungsbestimmung</w:t>
      </w:r>
    </w:p>
    <w:p>
      <w:r>
        <w:rPr>
          <w:color w:val="555555"/>
          <w:sz w:val="18"/>
        </w:rPr>
        <w:t xml:space="preserve">Kryptowerte-Steuertransparenz-Gesetz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Die Pflichten nach den Abschnitten 2 bis 5 sind erstmals für das Kalenderjahr 2026 zu erfüllen.</w:t>
      </w:r>
    </w:p>
    <w:p>
      <w:r>
        <w:rPr>
          <w:color w:val="555555"/>
          <w:sz w:val="17"/>
        </w:rPr>
        <w:t xml:space="preserve">Zitiervorschlag: § 21 KStTG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https://recht.nulegal.eu/gesetze/KStTG/21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