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KStTG — Anwendungsbereich</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Den Pflichten dieses Gesetzes unterliegen, wenn es sich um Anbieter handelt,</w:t>
      </w:r>
    </w:p>
    <w:p>
      <w:pPr>
        <w:ind w:left="420"/>
      </w:pPr>
      <w:r>
        <w:t xml:space="preserve">1. Kryptowerte-Dienstleister, deren Herkunftsmitgliedstaat im Sinne des Artikels 3 Absatz 1 Nummer 33 der Verordnung (EU) 2023/1114 die Bundesrepublik Deutschland ist, und</w:t>
      </w:r>
    </w:p>
    <w:p>
      <w:pPr>
        <w:ind w:left="420"/>
      </w:pPr>
      <w:r>
        <w:t xml:space="preserve">2. Kryptowerte-Betreiber, die</w:t>
      </w:r>
    </w:p>
    <w:p>
      <w:pPr>
        <w:ind w:left="780"/>
      </w:pPr>
      <w:r>
        <w:t xml:space="preserve">a) im Inland steuerlich ansässig sind,</w:t>
      </w:r>
    </w:p>
    <w:p>
      <w:pPr>
        <w:ind w:left="780"/>
      </w:pPr>
      <w:r>
        <w:t xml:space="preserve">b) ihren Satzungs- oder Vertragssitz im Inland haben und entweder im Inland Träger von Rechten und Pflichten sind oder verpflichtet sind, gegenüber einer inländischen Finanzbehörde Steuererklärungen oder andere Steuerinformationen abzugeben,</w:t>
      </w:r>
    </w:p>
    <w:p>
      <w:pPr>
        <w:ind w:left="780"/>
      </w:pPr>
      <w:r>
        <w:t xml:space="preserve">c) ihren Verwaltungssitz im Inland haben oder</w:t>
      </w:r>
    </w:p>
    <w:p>
      <w:pPr>
        <w:ind w:left="780"/>
      </w:pPr>
      <w:r>
        <w:t xml:space="preserve">d) ihre reguläre Geschäftstätigkeit im Inland ausüben.</w:t>
      </w:r>
    </w:p>
    <w:p>
      <w:r>
        <w:t xml:space="preserve">(2) Ein Kryptowerte-Betreiber, der die Voraussetzungen des Absatzes 1 Nummer 2 Buchstabe b, c oder d erfüllt, unterliegt nicht den Pflichten dieses Gesetzes, wenn er solche Pflichten in einem anderen Mitgliedstaat der Europäischen Union oder einem qualifizierten Drittstaat erfüllt, weil er dort steuerlich ansässig ist.</w:t>
      </w:r>
    </w:p>
    <w:p>
      <w:r>
        <w:t xml:space="preserve">(3) Ein Kryptowerte-Betreiber, der die Voraussetzungen des Absatzes 1 Nummer 2 Buchstabe c oder d erfüllt, unterliegt nicht den Pflichten dieses Gesetzes, wenn er solche Pflichten in einem anderen Mitgliedstaat der Europäischen Union oder einem qualifizierten Drittstaat erfüllt, weil er dort die Voraussetzungen des Absatzes 1 Nummer 2 Buchstabe b erfüllt.</w:t>
      </w:r>
    </w:p>
    <w:p>
      <w:r>
        <w:t xml:space="preserve">(4) Ein Kryptowerte-Betreiber, der die Voraussetzungen des Absatzes 1 Nummer 2 Buchstabe d erfüllt, unterliegt nicht den Pflichten dieses Gesetzes, wenn er solche Pflichten in einem anderen Mitgliedstaat der Europäischen Union oder einem qualifizierten Drittstaat erfüllt, weil er dort die Voraussetzungen des Absatzes 1 Nummer 2 Buchstabe c erfüllt.</w:t>
      </w:r>
    </w:p>
    <w:p>
      <w:r>
        <w:t xml:space="preserve">(5) Ein Kryptowerte-Betreiber, der die Voraussetzungen des Absatzes 1 Nummer 2 erfüllt, unterliegt nicht den Pflichten dieses Gesetzes, wenn er in einem anderen Mitgliedstaat der Europäischen Union oder einem qualifizierten Drittstaat aufgrund im Wesentlichen vergleichbarer Voraussetzungen solche Pflichten erfüllt. Die Erfüllung solcher Pflichten in einem anderen Mitgliedstaat der Europäischen Union oder einem qualifizierten Drittstaat aufgrund eines im Wesentlichen vergleichbaren Kriteriums hat der Anbieter dem Bundeszentralamt für Steuern in einer nach amtlichen Vorgaben erstellten Meldung zu bestätigen.</w:t>
      </w:r>
    </w:p>
    <w:p>
      <w:r>
        <w:t xml:space="preserve">(6) Ein Anbieter unterliegt den Pflichten dieses Gesetzes auch in Bezug auf zu meldende Transaktionen, die über eine Zweigniederlassung im Inland durchgeführt werden. Ein Anbieter unterliegt den Pflichten dieses Gesetzes nicht, soweit er in Bezug auf zu meldende Transaktionen, die er über eine Zweigniederlassung in einem anderen Mitgliedstaat der Europäischen Union oder einem qualifizierten Drittstaat durchführt, solche Pflichten in diesem Staat erfüllt.</w:t>
      </w:r>
    </w:p>
    <w:p>
      <w:r>
        <w:rPr>
          <w:color w:val="555555"/>
          <w:sz w:val="17"/>
        </w:rPr>
        <w:t xml:space="preserve">Zitiervorschlag: § 2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