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KStTG — Bußgeldvorschriften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4 Absatz 1 Satz 1 oder Absatz 2 Satz 1, jeweils auch in Verbindung mit § 5 Absatz 1 oder 3 Satz 5, eine Selbstauskunft oder eine Erklärung nicht, nicht richtig, nicht vollständig oder nicht rechtzeitig beschafft,</w:t>
      </w:r>
    </w:p>
    <w:p>
      <w:pPr>
        <w:ind w:left="420"/>
      </w:pPr>
      <w:r>
        <w:t xml:space="preserve">2. entgegen § 4 Absatz 1 Satz 2 oder Absatz 2 Satz 3, jeweils auch in Verbindung mit § 5 Absatz 1 oder 3 Satz 5, eine Selbstauskunft nicht, nicht richtig, nicht vollständig oder nicht rechtzeitig erteilt oder eine Erklärung nicht, nicht richtig, nicht vollständig oder nicht rechtzeitig abgibt,</w:t>
      </w:r>
    </w:p>
    <w:p>
      <w:pPr>
        <w:ind w:left="420"/>
      </w:pPr>
      <w:r>
        <w:t xml:space="preserve">3. entgegen § 4 Absatz 1 Satz 3, auch in Verbindung mit § 5 Absatz 1 oder 3 Satz 5, die Plausibilität der Angaben einer Selbstauskunft nicht, nicht richtig, nicht vollständig oder nicht rechtzeitig überprüft,</w:t>
      </w:r>
    </w:p>
    <w:p>
      <w:pPr>
        <w:ind w:left="420"/>
      </w:pPr>
      <w:r>
        <w:t xml:space="preserve">4. entgegen § 5 Absatz 3 Satz 1 eine Feststellung nicht, nicht richtig, nicht vollständig oder nicht rechtzeitig macht,</w:t>
      </w:r>
    </w:p>
    <w:p>
      <w:pPr>
        <w:ind w:left="420"/>
      </w:pPr>
      <w:r>
        <w:t xml:space="preserve">5. entgegen § 8 Absatz 3 Satz 1 einen Kryptowerte-Nutzer nicht oder nicht rechtzeitig an der Durchführung einer dort genannten Transaktion hindert,</w:t>
      </w:r>
    </w:p>
    <w:p>
      <w:pPr>
        <w:ind w:left="420"/>
      </w:pPr>
      <w:r>
        <w:t xml:space="preserve">6. entgegen § 9 Absatz 1 Satz 1 eine Meldung nicht, nicht richtig, nicht vollständig, nicht in der vorgeschriebenen Weise oder nicht rechtzeitig macht,</w:t>
      </w:r>
    </w:p>
    <w:p>
      <w:pPr>
        <w:ind w:left="420"/>
      </w:pPr>
      <w:r>
        <w:t xml:space="preserve">7. entgegen § 9 Absatz 2 Satz 1, auch in Verbindung mit Satz 2, eine Meldung nicht, nicht richtig, nicht vollständig, nicht in der vorgeschriebenen Weise oder nicht rechtzeitig nachholt,</w:t>
      </w:r>
    </w:p>
    <w:p>
      <w:pPr>
        <w:ind w:left="420"/>
      </w:pPr>
      <w:r>
        <w:t xml:space="preserve">8. entgegen § 9 Absatz 3 eine dort genannte Meldung nicht, nicht richtig, nicht vollständig, nicht in der vorgeschriebenen Weise oder nicht rechtzeitig korrigiert,</w:t>
      </w:r>
    </w:p>
    <w:p>
      <w:pPr>
        <w:ind w:left="420"/>
      </w:pPr>
      <w:r>
        <w:t xml:space="preserve">9. entgegen § 14 Absatz 1 eine Aufzeichnung nicht, nicht richtig, nicht vollständig oder nicht rechtzeitig erstellt,</w:t>
      </w:r>
    </w:p>
    <w:p>
      <w:pPr>
        <w:ind w:left="420"/>
      </w:pPr>
      <w:r>
        <w:t xml:space="preserve">10. entgegen § 14 Absatz 2 Satz 1 eine Aufzeichnung nicht oder nicht mindestens zehn Jahre aufbewahrt,</w:t>
      </w:r>
    </w:p>
    <w:p>
      <w:pPr>
        <w:ind w:left="420"/>
      </w:pPr>
      <w:r>
        <w:t xml:space="preserve">11. entgegen § 14 Absatz 2 Satz 2 eine Aufzeichnung nicht, nicht richtig, nicht vollständig oder nicht rechtzeitig löscht,</w:t>
      </w:r>
    </w:p>
    <w:p>
      <w:pPr>
        <w:ind w:left="420"/>
      </w:pPr>
      <w:r>
        <w:t xml:space="preserve">12. entgegen § 17 Absatz 1 eine Registrierung nicht, nicht richtig, nicht vollständig, nicht in der vorgeschriebenen Weise oder nicht rechtzeitig beantragt oder</w:t>
      </w:r>
    </w:p>
    <w:p>
      <w:pPr>
        <w:ind w:left="420"/>
      </w:pPr>
      <w:r>
        <w:t xml:space="preserve">13. entgegen § 17 Absatz 2 Satz 2 eine Mitteilung nicht, nicht richtig, nicht vollständig oder nicht rechtzeitig macht.</w:t>
      </w:r>
    </w:p>
    <w:p>
      <w:r>
        <w:t xml:space="preserve">(2) Die Ordnungswidrigkeit kann in den Fällen des Absatzes 1 Nummer 1 bis 8, 12 und 13 mit einer Geldbuße bis zu fünfzigtausend Euro und in den übrigen Fällen mit einer Geldbuße bis zu zehntausend Euro geahndet werden.</w:t>
      </w:r>
    </w:p>
    <w:p>
      <w:r>
        <w:t xml:space="preserve">(3) Verwaltungsbehörde im Sinne des § 36 Absatz 1 Nummer 1 des Gesetzes über Ordnungswidrigkeiten ist das Bundeszentralamt für Steuern.</w:t>
      </w:r>
    </w:p>
    <w:p>
      <w:r>
        <w:t xml:space="preserve">(4) Das Bundeszentralamt für Steuern informiert die Bundesanstalt für Finanzdienstleistungsaufsicht über gegen Kryptowerte-Dienstleister festgesetzte Geldbußen, wenn es gegen denselben Kryptowerte-Dienstleister zuvor schon einmal eine Geldbuße nach diesem Gesetz festgesetzt hatte. § 30 der Abgabenordnung steht der Information nicht entgegen.</w:t>
      </w:r>
    </w:p>
    <w:p>
      <w:r>
        <w:rPr>
          <w:color w:val="555555"/>
          <w:sz w:val="17"/>
        </w:rPr>
        <w:t xml:space="preserve">Zitiervorschlag: § 18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