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KStTG — Registrierung von Kryptowerte-Betreibern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Ein Kryptowerte-Betreiber, der nach § 2 Absatz 1 Nummer 2 und Absatz 6 Satz 1 den Pflichten dieses Gesetzes unterliegt und der nicht nach § 2 Absatz 2 bis 5 oder Absatz 6 Satz 2 von diesen Pflichten befreit ist, weil er solche Pflichten in einem anderen Mitgliedstaat der Europäischen Union erfüllt, hat beim Bundeszentralamt für Steuern einmalig vor dem erstmaligen Ablauf der Frist nach § 9 Absatz 1 Satz 1 seine Registrierung zu beantragen.</w:t>
      </w:r>
    </w:p>
    <w:p>
      <w:r>
        <w:t xml:space="preserve">(2) Für die Registrierung hat der Kryptowerte-Betreiber dem Bundeszentralamt für Steuern folgende Informationen elektronisch zu übermitteln:</w:t>
      </w:r>
    </w:p>
    <w:p>
      <w:pPr>
        <w:ind w:left="420"/>
      </w:pPr>
      <w:r>
        <w:t xml:space="preserve">1. seinen Namen und gegebenenfalls die Firma,</w:t>
      </w:r>
    </w:p>
    <w:p>
      <w:pPr>
        <w:ind w:left="420"/>
      </w:pPr>
      <w:r>
        <w:t xml:space="preserve">2. die Wohnanschrift oder gegebenenfalls die Anschrift seines Geschäftssitzes, unter der er postalisch erreichbar ist,</w:t>
      </w:r>
    </w:p>
    <w:p>
      <w:pPr>
        <w:ind w:left="420"/>
      </w:pPr>
      <w:r>
        <w:t xml:space="preserve">3. seine als Kryptowerte-Betreiber geschäftlich genutzte E-Mail- sowie Internetadresse,</w:t>
      </w:r>
    </w:p>
    <w:p>
      <w:pPr>
        <w:ind w:left="420"/>
      </w:pPr>
      <w:r>
        <w:t xml:space="preserve">4. seine Steueridentifikationsnummern oder deren funktionale Entsprechung,</w:t>
      </w:r>
    </w:p>
    <w:p>
      <w:pPr>
        <w:ind w:left="420"/>
      </w:pPr>
      <w:r>
        <w:t xml:space="preserve">5. alle Mitgliedstaaten der Europäischen Union, in denen zu meldende Nutzer steuerlich ansässig sind, und</w:t>
      </w:r>
    </w:p>
    <w:p>
      <w:pPr>
        <w:ind w:left="420"/>
      </w:pPr>
      <w:r>
        <w:t xml:space="preserve">6. alle qualifizierten Drittstaaten nach § 2 Absatz 2, 3, 4 oder 6 Satz 2.</w:t>
      </w:r>
    </w:p>
    <w:p>
      <w:r>
        <w:t xml:space="preserve">Der Kryptowerte-Betreiber hat dem Bundeszentralamt für Steuern jede Änderung der in Satz 1 genannten Informationen oder den Wegfall der Voraussetzungen nach Absatz 1 unverzüglich nach Eintritt der Änderung mitzuteilen.</w:t>
      </w:r>
    </w:p>
    <w:p>
      <w:r>
        <w:t xml:space="preserve">(3) Das Bundeszentralamt für Steuern weist dem Kryptowerte-Betreiber eine individuelle Registriernummer zu und teilt diese sowie die in Absatz 2 Satz 1 genannten Informationen und alle Änderungen dieser Informationen den zuständigen Behörden aller anderen Mitgliedstaaten der Europäischen Union auf elektronischem Wege mit, indem es die Informationen in das Register nach Artikel 8ad Absatz 10 der Richtlinie 2011/16/EU einstellt.</w:t>
      </w:r>
    </w:p>
    <w:p>
      <w:r>
        <w:t xml:space="preserve">(4) Das Bundeszentralamt für Steuern löscht die Registrierung eines Kryptowerte-Betreibers, wenn</w:t>
      </w:r>
    </w:p>
    <w:p>
      <w:pPr>
        <w:ind w:left="420"/>
      </w:pPr>
      <w:r>
        <w:t xml:space="preserve">1. der Kryptowerte-Betreiber das Bundeszentralamt für Steuern darüber informiert, dass er nicht länger für zu meldende Nutzer tätig ist,</w:t>
      </w:r>
    </w:p>
    <w:p>
      <w:pPr>
        <w:ind w:left="420"/>
      </w:pPr>
      <w:r>
        <w:t xml:space="preserve">2. keine Meldung nach Nummer 1 vorliegt, aber das Bundeszentralamt für Steuern Grund zu der Annahme hat, dass die Tätigkeit des Kryptowerte-Betreibers eingestellt wurde,</w:t>
      </w:r>
    </w:p>
    <w:p>
      <w:pPr>
        <w:ind w:left="420"/>
      </w:pPr>
      <w:r>
        <w:t xml:space="preserve">3. der Kryptowerte-Betreiber das Bundeszentralamt für Steuern darüber informiert, dass er nicht länger die Voraussetzungen des § 1 Absatz 9 erfüllt, oder</w:t>
      </w:r>
    </w:p>
    <w:p>
      <w:pPr>
        <w:ind w:left="420"/>
      </w:pPr>
      <w:r>
        <w:t xml:space="preserve">4. das Bundeszentralamt für Steuern die Registrierung nach Absatz 7 widerrufen hat.</w:t>
      </w:r>
    </w:p>
    <w:p>
      <w:r>
        <w:t xml:space="preserve">(5) Erlangt das Bundeszentralamt für Steuern Kenntnis von einem Kryptowerte-Betreiber, der für in der Europäischen Union ansässige zu meldende Nutzer tätig ist, ohne eine Registrierung nach Absatz 1 beim Bundeszentralamt für Steuern oder bei der zuständigen Behörde eines anderen Mitgliedstaates der Europäischen Union beantragt zu haben, unterrichtet es die Europäische Kommission unverzüglich.</w:t>
      </w:r>
    </w:p>
    <w:p>
      <w:r>
        <w:t xml:space="preserve">(6) Kommt ein Kryptowerte-Betreiber seiner Registrierungspflicht im Inland nach den Absätzen 1 und 2 nicht, nicht richtig, nicht vollständig oder nicht rechtzeitig nach oder wurde die Registrierung nach Absatz 7 widerrufen, so kann das Bundeszentralamt für Steuern dem Kryptowerte-Betreiber die Ausführung zu meldender Transaktionen für zu meldende Nutzer mit steuerlicher Ansässigkeit in Mitgliedstaaten der Europäischen Union untersagen. Die Untersagung nach Satz 1 ist anzudrohen. Hierbei ist für die Registrierung eine Frist zu bestimmen. Das Bundeszentralamt für Steuern berücksichtigt bei einer Entscheidung im Sinne des Satzes 1 Informationen anderer zuständiger Behörden der Mitgliedstaaten der Europäischen Union. § 18 Absatz 1 Nummer 12 bleibt unberührt.</w:t>
      </w:r>
    </w:p>
    <w:p>
      <w:r>
        <w:t xml:space="preserve">(7) Kommt ein Kryptowerte-Betreiber seiner Meldepflicht nach § 9 Absatz 1 Satz 1, Absatz 2 oder 3 auch nach zweimaliger Aufforderung durch das Bundeszentralamt für Steuern nicht nach, widerruft das Bundeszentralamt für Steuern die erteilte Registrierung. Der Widerruf der Registrierung ist dem Kryptowerte-Betreiber anzukündigen und erfolgt frühestens nach Ablauf von 30 Tagen nach der zweiten erfolglosen Aufforderung. Der Widerruf soll spätestens nach Ablauf von 90 Tagen nach der zweiten erfolglosen Aufforderung erfolgen. § 18 Absatz 1 Nummer 7 und 8 bleibt unberührt.</w:t>
      </w:r>
    </w:p>
    <w:p>
      <w:r>
        <w:t xml:space="preserve">(8) Hat das Bundeszentralamt für Steuern die Registrierung eines Kryptowerte-Betreibers nach Absatz 7 widerrufen, so soll eine erneute Registrierung nur gegen Gewährung einer angemessenen Sicherheitsleistung gestattet werden. Die Sicherheitsleistung muss erwarten lassen, dass der Kryptowerte-Betreiber seiner Meldepflicht, gegebenenfalls einschließlich noch unerfüllter Meldepflichten für zurückliegende Meldezeiträume, nachkommen wird. Die §§ 241 bis 248 der Abgabenordnung gelten entsprechend. Die Sicherheitsleistung ist dem Kryptowerte-Betreiber zurückzugewähren, sobald dieser der Meldepflicht für gegebenenfalls zurückliegende Meldezeiträume und für den unmittelbar nächsten Meldezeitraum vollständig und richtig nachgekommen ist.</w:t>
      </w:r>
    </w:p>
    <w:p>
      <w:r>
        <w:rPr>
          <w:color w:val="555555"/>
          <w:sz w:val="17"/>
        </w:rPr>
        <w:t xml:space="preserve">Zitiervorschlag: § 17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