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KStTG — Aufgaben des Bundeszentralamtes für Steuern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Das Bundeszentralamt für Steuern nimmt Informationen entgegen, die ihm von Anbietern nach § 12 Satz 1 und von den zuständigen Behörden der anderen Mitgliedstaaten der Europäischen Union oder von Drittstaaten, mit denen eine qualifizierende Vereinbarung besteht, übermittelt werden, und speichert diese Informationen.</w:t>
      </w:r>
    </w:p>
    <w:p>
      <w:r>
        <w:t xml:space="preserve">(2) Das Bundeszentralamt für Steuern übermittelt die nach Absatz 1 entgegengenommenen Informationen zu im Inland ansässigen zu meldenden Nutzern und zu meldenden beherrschenden Personen zur Durchführung des Besteuerungsverfahrens an die zuständige Landesfinanzbehörde. § 88 Absatz 4 Satz 1 der Abgabenordnung ist mit der Maßgabe anzuwenden, dass ein unverhältnismäßiger Aufwand bei der Zuordnung der Daten zu einem bestimmten Steuerpflichtigen oder einem bestimmten Finanzamt gegeben ist, wenn sich die Zuordnung nicht mittels verfügbarer automatisierter Verfahren vornehmen lässt. § 88 Absatz 4 Satz 2 der Abgabenordnung ist nicht anzuwenden.</w:t>
      </w:r>
    </w:p>
    <w:p>
      <w:r>
        <w:t xml:space="preserve">(3) Das Bundeszentralamt für Steuern übermittelt die nach Absatz 1 von Anbietern entgegengenommenen Informationen an die zuständigen Behörden der Mitgliedstaaten der Europäischen Union und von Drittstaaten, mit denen eine qualifizierende Vereinbarung besteht, sofern der jeweilige zu meldende Nutzer oder die jeweilige zu meldende beherrschende Person in einem solchen Staat als steuerlich ansässig gilt. Die Übermittlung erfolgt jeweils bis zum 30. September eines Jahres für den vorangegangenen Meldezeitraum. Eine Anhörung der Beteiligten nach § 117 Absatz 4 Satz 3 der Abgabenordnung findet nicht statt.</w:t>
      </w:r>
    </w:p>
    <w:p>
      <w:r>
        <w:t xml:space="preserve">(4) Das Bundeszentralamt für Steuern ist berechtigt, die Informationen, die ihm nach Absatz 1 übermittelt worden sind, zur Erfüllung der ihm gesetzlich übertragenen Aufgaben auszuwerten. Eine Auswertung der Informationen durch die jeweils zuständige Landesfinanzbehörde bleibt hiervon unberührt. § 19 Absatz 2 des EU-Amtshilfegesetzes bleibt ebenfalls unberührt.</w:t>
      </w:r>
    </w:p>
    <w:p>
      <w:r>
        <w:t xml:space="preserve">(5) Das Bundeszentralamt für Steuern bewahrt die Informationen, die ihm nach Absatz 1 übermittelt worden sind, ab dem Zeitpunkt der Entgegennahme zehn Jahre lang auf. Nach Ablauf der Aufbewahrungsfrist nach Satz 1 werden die Daten bis zum Ende des jeweiligen Kalenderjahres gelöscht. Nimmt das Bundeszentralamt für Steuern vor dem Ablauf der Aufbewahrungsfrist eine Änderungsmeldung entgegen, so beginnt die Frist nach Satz 1 mit dem Zeitpunkt, zu dem die Änderungsmeldung entgegengenommen worden ist.</w:t>
      </w:r>
    </w:p>
    <w:p>
      <w:r>
        <w:t xml:space="preserve">(6) Das Bundeszentralamt für Steuern führt das Verfahren zur Registrierung von Kryptowerte-Betreibern nach Maßgabe des § 17 durch, einschließlich der damit verbundenen Mitteilungen an die Europäische Kommission und an die zuständigen Behörden der anderen Mitgliedstaaten der Europäischen Union, sowie die Löschung oder den Widerruf erteilter Registrierungen im Sinne des § 17 Absatz 4 oder 7. Für die Zwecke des Satzes 1 nutzt das Bundeszentralamt für Steuern das Register nach Artikel 8ad Absatz 10 der Richtlinie 2011/16/EU.</w:t>
      </w:r>
    </w:p>
    <w:p>
      <w:r>
        <w:t xml:space="preserve">(7) Das Bundeszentralamt für Steuern prüft die Einhaltung der Melde- und Sorgfaltspflichten, die den Anbietern nach diesem Gesetz auferlegt werden. § 147 Absatz 5 bis 7 und die §§ 194 bis 203a der Abgabenordnung sowie § 12 des EU-Amtshilfegesetzes gelten entsprechend.</w:t>
      </w:r>
    </w:p>
    <w:p>
      <w:r>
        <w:t xml:space="preserve">(8) Das Bundeszentralamt für Steuern kann einen Anbieter auffordern, als unrichtig erachtete Informationen durch den betreffenden zu meldenden Nutzer berichtigen oder bestätigen zu lassen, wenn dem Bundeszentralamt für Steuern aufgrund eigener Ermittlungen, der Mitteilung einer Landesfinanzbehörde oder der Mitteilung eines Mitgliedstaates der Europäischen Union oder eines Drittstaates, mit dem eine qualifizierende Vereinbarung besteht, Informationen bekannt werden, denen zufolge begründete Zweifel an der Richtigkeit der nach § 6 erhobenen Informationen in Bezug auf einen zu meldenden Nutzer bestehen.</w:t>
      </w:r>
    </w:p>
    <w:p>
      <w:r>
        <w:rPr>
          <w:color w:val="555555"/>
          <w:sz w:val="17"/>
        </w:rPr>
        <w:t xml:space="preserve">Zitiervorschlag: § 16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