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KStG 1977 — Abziehbare Aufwendungen</w:t>
      </w:r>
    </w:p>
    <w:p>
      <w:r>
        <w:rPr>
          <w:color w:val="555555"/>
          <w:sz w:val="18"/>
        </w:rPr>
        <w:t xml:space="preserve">Körperschaftsteuergesetz</w:t>
      </w:r>
    </w:p>
    <w:p>
      <w:r>
        <w:rPr>
          <w:color w:val="555555"/>
          <w:sz w:val="18"/>
        </w:rPr>
        <w:t xml:space="preserve">Stand: 10.01.2020 (konsolidierte Textfassung, kein amtliches Inkrafttretensdatum)</w:t>
      </w:r>
    </w:p>
    <w:p>
      <w:r>
        <w:t xml:space="preserve">(1) 1Abziehbare Aufwendungen sind auch:</w:t>
      </w:r>
    </w:p>
    <w:p>
      <w:pPr>
        <w:ind w:left="420"/>
      </w:pPr>
      <w:r>
        <w:t xml:space="preserve">1. bei Kommanditgesellschaften auf Aktien und bei vergleichbaren Kapitalgesellschaften der Teil des Gewinns, der an persönlich haftende Gesellschafter auf ihre nicht auf das Grundkapital gemachten Einlagen oder als Vergütung (Tantieme) für die Geschäftsführung verteilt wird;</w:t>
      </w:r>
    </w:p>
    <w:p>
      <w:pPr>
        <w:ind w:left="420"/>
      </w:pPr>
      <w:r>
        <w:t xml:space="preserve">2. vorbehaltlich des § 8 Absatz 3 Zuwendungen (Spenden und Mitgliedsbeiträge) zur Förderung steuerbegünstigter Zwecke im Sinne der §§ 52 bis 54 der Abgabenordnung bis zur Höhe von insgesamt</w:t>
      </w:r>
    </w:p>
    <w:p>
      <w:pPr>
        <w:ind w:left="780"/>
      </w:pPr>
      <w:r>
        <w:t xml:space="preserve">a) 20 Prozent des Einkommens oder</w:t>
      </w:r>
    </w:p>
    <w:p>
      <w:pPr>
        <w:ind w:left="780"/>
      </w:pPr>
      <w:r>
        <w:t xml:space="preserve">b) 4 Promille der Summe der gesamten Umsätze und der im Kalenderjahr aufgewendeten Löhne und Gehälter.</w:t>
      </w:r>
    </w:p>
    <w:p>
      <w:pPr>
        <w:ind w:left="420"/>
      </w:pPr>
      <w:r>
        <w:t xml:space="preserve">2Voraussetzung für den Abzug ist, dass diese Zuwendungen</w:t>
      </w:r>
    </w:p>
    <w:p>
      <w:pPr>
        <w:ind w:left="780"/>
      </w:pPr>
      <w:r>
        <w:t xml:space="preserve">a) an eine juristische Person des öffentlichen Rechts oder an eine öffentliche Dienststelle, die in einem Mitgliedstaat der Europäischen Union oder in einem Staat belegen ist, auf den das Abkommen über den Europäischen Wirtschaftsraum (EWR-Abkommen) Anwendung findet, oder</w:t>
      </w:r>
    </w:p>
    <w:p>
      <w:pPr>
        <w:ind w:left="780"/>
      </w:pPr>
      <w:r>
        <w:t xml:space="preserve">b) an eine nach § 5 Absatz 1 Nummer 9 steuerbefreite Körperschaft, Personenvereinigung oder Vermögensmasse oder</w:t>
      </w:r>
    </w:p>
    <w:p>
      <w:pPr>
        <w:ind w:left="780"/>
      </w:pPr>
      <w:r>
        <w:t xml:space="preserve">c) an eine Körperschaft, Personenvereinigung oder Vermögensmasse, die in einem Mitgliedstaat der Europäischen Union oder in einem Staat belegen ist, auf den das Abkommen über den Europäischen Wirtschaftsraum (EWR-Abkommen) Anwendung findet, und die nach § 5 Absatz 1 Nummer 9 in Verbindung mit § 5 Absatz 2 Nummer 2 zweiter Halbsatz steuerbefreit wäre, wenn sie inländische Einkünfte erzielen würde,</w:t>
      </w:r>
    </w:p>
    <w:p>
      <w:pPr>
        <w:ind w:left="420"/>
      </w:pPr>
      <w:r>
        <w:t xml:space="preserve">geleistet werden (Zuwendungsempfänger). 3Für nicht im Inland ansässige Zuwendungsempfänger nach Satz 2 ist weitere Voraussetzung, dass durch diese Staaten Amtshilfe und Unterstützung bei der Beitreibung geleistet werden. 4Amtshilfe ist der Auskunftsaustausch im Sinne oder entsprechend der Amtshilferichtlinie gemäß § 2 Absatz 2 des EU-Amtshilfegesetzes. 5Beitreibung ist die gegenseitige Unterstützung bei der Beitreibung von Forderungen im Sinne oder entsprechend der Beitreibungsrichtlinie einschließlich der in diesem Zusammenhang anzuwendenden Durchführungsbestimmungen in den für den jeweiligen Veranlagungszeitraum geltenden Fassungen oder eines entsprechenden Nachfolgerechtsaktes. 6Werden die steuerbegünstigten Zwecke des Zuwendungsempfängers im Sinne von Satz 2 Buchstabe a nur im Ausland verwirklicht, ist für die Abziehbarkeit der Zuwendungen Voraussetzung, dass natürliche Personen, die ihren Wohnsitz oder ihren gewöhnlichen Aufenthalt im Geltungsbereich dieses Gesetzes haben, gefördert werden oder dass die Tätigkeit dieses Zuwendungsempfängers neben der Verwirklichung der steuerbegünstigten Zwecke auch zum Ansehen der Bundesrepublik Deutschland beitragen kann. 7Abziehbar sind auch Mitgliedsbeiträge an Körperschaften, die Kunst und Kultur gemäß § 52 Absatz 2 Nummer 5 der Abgabenordnung fördern, soweit es sich nicht um Mitgliedsbeiträge nach Satz 8 Nummer 2 handelt, auch wenn den Mitgliedern Vergünstigungen gewährt werden.8Nicht abziehbar sind Mitgliedsbeiträge an Körperschaften,</w:t>
      </w:r>
    </w:p>
    <w:p>
      <w:pPr>
        <w:ind w:left="780"/>
      </w:pPr>
      <w:r>
        <w:t xml:space="preserve">1. die den Sport (§ 52 Absatz 2 Satz 1 Nummer 21 der Abgabenordnung),</w:t>
      </w:r>
    </w:p>
    <w:p>
      <w:pPr>
        <w:ind w:left="780"/>
      </w:pPr>
      <w:r>
        <w:t xml:space="preserve">2. die kulturelle Betätigungen, die in erster Linie der Freizeitgestaltung dienen,</w:t>
      </w:r>
    </w:p>
    <w:p>
      <w:pPr>
        <w:ind w:left="780"/>
      </w:pPr>
      <w:r>
        <w:t xml:space="preserve">3. die die Heimatpflege und Heimatkunde (§ 52 Absatz 2 Satz 1 Nummer 22 der Abgabenordnung),</w:t>
      </w:r>
    </w:p>
    <w:p>
      <w:pPr>
        <w:ind w:left="780"/>
      </w:pPr>
      <w:r>
        <w:t xml:space="preserve">4. die Zwecke im Sinne des § 52 Absatz 2 Satz 1 Nummer 23 der Abgabenordnung</w:t>
      </w:r>
    </w:p>
    <w:p>
      <w:pPr>
        <w:ind w:left="420"/>
      </w:pPr>
      <w:r>
        <w:t xml:space="preserve">fördern oder</w:t>
      </w:r>
    </w:p>
    <w:p>
      <w:pPr>
        <w:ind w:left="780"/>
      </w:pPr>
      <w:r>
        <w:t xml:space="preserve">5. deren Zweck nach § 52 Absatz 2 Satz 2 der Abgabenordnung für gemeinnützig erklärt worden ist, weil deren Zweck die Allgemeinheit auf materiellem, geistigem oder sittlichem Gebiet entsprechend einem Zweck nach den Nummern 1 bis 4 fördert.</w:t>
      </w:r>
    </w:p>
    <w:p>
      <w:pPr>
        <w:ind w:left="420"/>
      </w:pPr>
      <w:r>
        <w:t xml:space="preserve">9Abziehbare Zuwendungen, die die Höchstbeträge nach Satz 1 überschreiten, sind im Rahmen der Höchstbeträge in den folgenden Veranlagungszeiträumen abzuziehen. 10§ 10d Abs. 4 des Einkommensteuergesetzes gilt entsprechend.</w:t>
      </w:r>
    </w:p>
    <w:p>
      <w:r>
        <w:t xml:space="preserve">(2) 1Als Einkommen im Sinne dieser Vorschrift gilt das Einkommen vor Abzug der in Absatz 1 Nr. 2 bezeichneten Zuwendungen und vor dem Verlustabzug nach § 10d des Einkommensteuergesetzes. 2Als Zuwendung im Sinne dieser Vorschrift gilt auch die Zuwendung von Wirtschaftsgütern mit Ausnahme von Nutzungen und Leistungen. 3Der Wert der Zuwendung ist nach § 6 Absatz 1 Nummer 4 Satz 1 und 4 des Einkommensteuergesetzes zu ermitteln. 4Aufwendungen zugunsten einer Körperschaft, die zum Empfang steuerlich abziehbarer Zuwendungen berechtigt ist, sind nur abziehbar, wenn ein Anspruch auf die Erstattung der Aufwendungen durch Vertrag oder Satzung eingeräumt und auf die Erstattung verzichtet worden ist. 5Der Anspruch darf nicht unter der Bedingung des Verzichts eingeräumt worden sein.</w:t>
      </w:r>
    </w:p>
    <w:p>
      <w:r>
        <w:t xml:space="preserve">(3) 1Der Steuerpflichtige darf auf die Richtigkeit der Bestätigung über Spenden und Mitgliedsbeiträge vertrauen, es sei denn, dass er die Bestätigung durch unlautere Mittel oder falsche Angaben erwirkt hat oder dass ihm die Unrichtigkeit der Bestätigung bekannt oder infolge grober Fahrlässigkeit nicht bekannt war. 2Wer vorsätzlich oder grob fahrlässig eine unrichtige Bestätigung ausstellt oder veranlasst, dass Zuwendungen nicht zu den in der Bestätigung angegebenen steuerbegünstigten Zwecken verwendet werden (Veranlasserhaftung), haftet für die entgangene Steuer; diese ist mit 30 Prozent des zugewendeten Betrags anzusetzen. 3In den Fällen der Veranlasserhaftung ist vorrangig der Zuwendungsempfänger in Anspruch zu nehmen; die natürlichen Personen, die in diesen Fällen für den Zuwendungsempfänger handeln, sind nur in Anspruch zu nehmen, wenn die entgangene Steuer nicht nach § 47 der Abgabenordnung erloschen ist und Vollstreckungsmaßnahmen gegen den Zuwendungsempfänger nicht erfolgreich sind; § 10b Absatz 4 Satz 5 des Einkommensteuergesetzes gilt entsprechend.</w:t>
      </w:r>
    </w:p>
    <w:p>
      <w:r>
        <w:rPr>
          <w:color w:val="555555"/>
          <w:sz w:val="17"/>
        </w:rPr>
        <w:t xml:space="preserve">Zitiervorschlag: § 9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