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KStG 1977 — Grundlagen der Besteuerung</w:t>
      </w:r>
    </w:p>
    <w:p>
      <w:r>
        <w:rPr>
          <w:color w:val="555555"/>
          <w:sz w:val="18"/>
        </w:rPr>
        <w:t xml:space="preserve">Körperschaftsteuergesetz</w:t>
      </w:r>
    </w:p>
    <w:p>
      <w:r>
        <w:rPr>
          <w:color w:val="555555"/>
          <w:sz w:val="18"/>
        </w:rPr>
        <w:t xml:space="preserve">Stand: 10.06.2019 (konsolidierte Textfassung, kein amtliches Inkrafttretensdatum)</w:t>
      </w:r>
    </w:p>
    <w:p>
      <w:r>
        <w:t xml:space="preserve">(1) Die Körperschaftsteuer bemisst sich nach dem zu versteuernden Einkommen.</w:t>
      </w:r>
    </w:p>
    <w:p>
      <w:r>
        <w:t xml:space="preserve">(2) Zu versteuerndes Einkommen ist das Einkommen im Sinne des § 8 Abs. 1, vermindert um die Freibeträge der §§ 24 und 25.</w:t>
      </w:r>
    </w:p>
    <w:p>
      <w:r>
        <w:t xml:space="preserve">(3) 1Die Körperschaftsteuer ist eine Jahressteuer. 2Die Grundlagen für ihre Festsetzung sind jeweils für ein Kalenderjahr zu ermitteln. 3Besteht die unbeschränkte oder beschränkte Steuerpflicht nicht während eines ganzen Kalenderjahrs, so tritt an die Stelle des Kalenderjahrs der Zeitraum der jeweiligen Steuerpflicht.</w:t>
      </w:r>
    </w:p>
    <w:p>
      <w:r>
        <w:t xml:space="preserve">(4) 1Bei Steuerpflichtigen, die verpflichtet sind, Bücher nach den Vorschriften des Handelsgesetzbuchs zu führen, ist der Gewinn nach dem Wirtschaftsjahr zu ermitteln, für das sie regelmäßig Abschlüsse machen. 2Weicht bei diesen Steuerpflichtigen das Wirtschaftsjahr, für das sie regelmäßig Abschlüsse machen, vom Kalenderjahr ab, so gilt der Gewinn aus Gewerbebetrieb als in dem Kalenderjahr bezogen, in dem das Wirtschaftsjahr endet. 3Die Umstellung des Wirtschaftsjahrs auf einen vom Kalenderjahr abweichenden Zeitraum ist steuerlich nur wirksam, wenn sie im Einvernehmen mit dem Finanzamt vorgenommen wird.</w:t>
      </w:r>
    </w:p>
    <w:p>
      <w:r>
        <w:rPr>
          <w:color w:val="555555"/>
          <w:sz w:val="17"/>
        </w:rPr>
        <w:t xml:space="preserve">Zitiervorschlag: § 7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