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KStG 1977 — Einschränkung der Befreiung von Pensions-, Sterbe-, Kranken- und Unterstützungskassen</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Übersteigt am Schluss des Wirtschaftsjahrs, zu dem der Wert der Deckungsrückstellung versicherungsmathematisch zu berechnen ist, das Vermögen einer Pensions-, Sterbe- oder Krankenkasse im Sinne des § 5 Abs. 1 Nr. 3 den in Buchstabe d dieser Vorschrift bezeichneten Betrag, so ist die Kasse steuerpflichtig, soweit ihr Einkommen anteilig auf das übersteigende Vermögen entfällt.</w:t>
      </w:r>
    </w:p>
    <w:p>
      <w:r>
        <w:t xml:space="preserve">(2) Die Steuerpflicht entfällt mit Wirkung für die Vergangenheit, soweit das übersteigende Vermögen innerhalb von 18 Monaten nach dem Schluss des Wirtschaftsjahrs, für das es festgestellt worden ist, mit Zustimmung der Versicherungsaufsichtsbehörde zur Leistungserhöhung, zur Auszahlung an das Trägerunternehmen, zur Verrechnung mit Zuwendungen des Trägerunternehmens, zur gleichmäßigen Herabsetzung künftiger Zuwendungen des Trägerunternehmens oder zur Verminderung der Beiträge der Leistungsempfänger verwendet wird.</w:t>
      </w:r>
    </w:p>
    <w:p>
      <w:r>
        <w:t xml:space="preserve">(3) Wird das übersteigende Vermögen nicht in der in Absatz 2 bezeichneten Weise verwendet, so erstreckt sich die Steuerpflicht auch auf die folgenden Kalenderjahre, für die der Wert der Deckungsrückstellung nicht versicherungsmathematisch zu berechnen ist.</w:t>
      </w:r>
    </w:p>
    <w:p>
      <w:r>
        <w:t xml:space="preserve">(4) 1Bei der Ermittlung des Einkommens der Kasse sind Beitragsrückerstattungen oder sonstige Vermögensübertragungen an das Trägerunternehmen außer in den Fällen des Absatzes 2 nicht abziehbar. 2Das Gleiche gilt für Zuführungen zu einer Rückstellung für Beitragsrückerstattung, soweit den Leistungsempfängern ein Anspruch auf die Überschussbeteiligung nicht zusteht.</w:t>
      </w:r>
    </w:p>
    <w:p>
      <w:r>
        <w:t xml:space="preserve">(5) 1Übersteigt am Schluss des Wirtschaftsjahrs das Vermögen einer Unterstützungskasse im Sinne des § 5 Abs. 1 Nr. 3 den in Buchstabe e dieser Vorschrift bezeichneten Betrag, so ist die Kasse steuerpflichtig, soweit ihr Einkommen anteilig auf das übersteigende Vermögen entfällt. 2Bei der Ermittlung des Einkommens sind Zuwendungen des Trägerunternehmens nicht erhöhend und Versorgungsleistungen der Kasse sowie Vermögensübertragungen an das Trägerunternehmen nicht mindernd zu berücksichtigen.</w:t>
      </w:r>
    </w:p>
    <w:p>
      <w:r>
        <w:t xml:space="preserve">(5a) 1Unterstützungskassen in der Rechtsform der Kapitalgesellschaft können bis zum 31. Dezember 2016 auf amtlich vorgeschriebenem Vordruck einen positiven Zuwendungsbetrag erklären. 2Dieser errechnet sich aus den Zuwendungen des Trägerunternehmens in den Veranlagungszeiträumen 2006 bis 2015 abzüglich der Versorgungsleistungen in diesem Zeitraum, soweit diese Zuwendungen und diese Versorgungsleistungen in dem steuerpflichtigen Teil des Einkommens der Kasse nach Absatz 5 Satz 1 enthalten waren. 3Dabei gelten Versorgungsleistungen in den Veranlagungszeiträumen 2006 bis 2015 als vornehmlich aus Zuwendungen des Trägerunternehmens in diesem Zeitraum erbracht. 4Ab dem Veranlagungszeitraum 2016 mindert sich das steuerpflichtige Einkommen der Kasse in Höhe des zum Schluss des vorherigen Veranlagungszeitraums festgestellten Betrags nach Satz 6; es mindert sich höchstens um einen Betrag in Höhe der im Wirtschaftsjahr getätigten Versorgungsleistungen. 5Durch die Minderung darf das Einkommen nicht negativ werden. 6Gesondert festzustellen sind,</w:t>
      </w:r>
    </w:p>
    <w:p>
      <w:pPr>
        <w:ind w:left="420"/>
      </w:pPr>
      <w:r>
        <w:t xml:space="preserve">1. der Zuwendungsbetrag auf den 31. Dezember 2015 und</w:t>
      </w:r>
    </w:p>
    <w:p>
      <w:pPr>
        <w:ind w:left="420"/>
      </w:pPr>
      <w:r>
        <w:t xml:space="preserve">2. der zum 31. Dezember des jeweiligen Folgejahres verbleibende Zuwendungsbetrag, der sich ergibt, wenn vom zum Schluss des Vorjahres festgestellten Betrag der Betrag abgezogen wird, um den sich das steuerpflichtige Einkommen im laufenden Veranlagungszeitraum nach den Sätzen 4 und 5 gemindert hat.</w:t>
      </w:r>
    </w:p>
    <w:p>
      <w:r>
        <w:t xml:space="preserve">(6) 1Auf den Teil des Vermögens einer Pensions-, Sterbe-, Kranken- oder Unterstützungskasse, der am Schluss des Wirtschaftsjahrs den in § 5 Abs. 1 Nr. 3 Buchstabe d oder e bezeichneten Betrag übersteigt, ist Buchstabe c dieser Vorschrift nicht anzuwenden. 2Bei Unterstützungskassen gilt dies auch, soweit das Vermögen vor dem Schluss des Wirtschaftsjahrs den in § 5 Abs. 1 Nr. 3 Buchstabe e bezeichneten Betrag übersteigt.</w:t>
      </w:r>
    </w:p>
    <w:p>
      <w:r>
        <w:rPr>
          <w:color w:val="555555"/>
          <w:sz w:val="17"/>
        </w:rPr>
        <w:t xml:space="preserve">Zitiervorschlag: § 6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