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KStG 1977 — Befreiungen</w:t>
      </w:r>
    </w:p>
    <w:p>
      <w:r>
        <w:rPr>
          <w:color w:val="555555"/>
          <w:sz w:val="18"/>
        </w:rPr>
        <w:t xml:space="preserve">Körperschaftsteuergesetz</w:t>
      </w:r>
    </w:p>
    <w:p>
      <w:r>
        <w:rPr>
          <w:color w:val="555555"/>
          <w:sz w:val="18"/>
        </w:rPr>
        <w:t xml:space="preserve">Stand: 24.12.2025 (konsolidierte Textfassung, kein amtliches Inkrafttretensdatum)</w:t>
      </w:r>
    </w:p>
    <w:p>
      <w:r>
        <w:t xml:space="preserve">(1) Von der Körperschaftsteuer sind befreit</w:t>
      </w:r>
    </w:p>
    <w:p>
      <w:pPr>
        <w:ind w:left="420"/>
      </w:pPr>
      <w:r>
        <w:t xml:space="preserve">1. das Bundeseisenbahnvermögen, die staatlichen Lotterieunternehmen und der Erdölbevorratungsverband nach § 2 Absatz 1 des Erdölbevorratungsgesetzes vom 16. Januar 2012 (BGBl. I S. 74) in der jeweils geltenden Fassung;</w:t>
      </w:r>
    </w:p>
    <w:p>
      <w:pPr>
        <w:ind w:left="420"/>
      </w:pPr>
      <w:r>
        <w:t xml:space="preserve">2. die Deutsche Bundesbank, die Kreditanstalt für Wiederaufbau, die DEG – Deutsche Investitions- und Entwicklungsgesellschaft mbH, die Landwirtschaftliche Rentenbank, die Bayerische Landesanstalt für Aufbaufinanzierung, die Bremer Aufbau-Bank GmbH, die Landeskreditbank Baden-Württemberg-Förderbank, die Bayerische Landesbodenkreditanstalt, die Investitionsbank Berlin, die Hamburgische Investitions- und Förderbank, die NRW.Bank, die Investitions- und Förderbank Niedersachsen, die Saarländische Investitionskreditbank Aktiengesellschaft, die Investitionsbank Schleswig-Holstein, die Investitionsbank des Landes Brandenburg, die Sächsische Aufbaubank - Förderbank -, die Thüringer Aufbaubank, die Investitionsbank Sachsen-Anhalt, die Investitions- und Strukturbank Rheinland-Pfalz, das Landesförderinstitut Mecklenburg-Vorpommern - Geschäftsbereich der Norddeutschen Landesbank Girozentrale -, die Wirtschafts- und Infrastrukturbank Hessen – rechtlich unselbständige Anstalt in der Landesbank Hessen-Thüringen Girozentrale und die Liquiditäts-Konsortialbank Gesellschaft mit beschränkter Haftung;</w:t>
      </w:r>
    </w:p>
    <w:p>
      <w:pPr>
        <w:ind w:left="420"/>
      </w:pPr>
      <w:r>
        <w:t xml:space="preserve">2a. die Bundesanstalt für vereinigungsbedingte Sonderaufgaben;</w:t>
      </w:r>
    </w:p>
    <w:p>
      <w:pPr>
        <w:ind w:left="420"/>
      </w:pPr>
      <w:r>
        <w:t xml:space="preserve">3. rechtsfähige Pensions-, Sterbe- und Krankenkassen, die den Personen, denen die Leistungen der Kasse zugute kommen oder zugute kommen sollen (Leistungsempfängern), einen Rechtsanspruch gewähren, und rechtsfähige Unterstützungskassen, die den Leistungsempfängern keinen Rechtsanspruch gewähren,</w:t>
      </w:r>
    </w:p>
    <w:p>
      <w:pPr>
        <w:ind w:left="780"/>
      </w:pPr>
      <w:r>
        <w:t xml:space="preserve">a) wenn sich die Kasse beschränkt</w:t>
      </w:r>
    </w:p>
    <w:p>
      <w:pPr>
        <w:ind w:left="1140"/>
      </w:pPr>
      <w:r>
        <w:t xml:space="preserve">aa) auf Zugehörige oder frühere Zugehörige einzelner oder mehrerer wirtschaftlicher Geschäftsbetriebe oder</w:t>
      </w:r>
    </w:p>
    <w:p>
      <w:pPr>
        <w:ind w:left="1140"/>
      </w:pPr>
      <w:r>
        <w:t xml:space="preserve">bb) auf Zugehörige oder frühere Zugehörige der Spitzenverbände der freien Wohlfahrtspflege (Arbeiterwohlfahrt-Bundesverband e.V., Deutscher Caritasverband e.V., Deutscher Paritätischer Wohlfahrtsverband e.V., Deutsches Rotes Kreuz, Diakonisches Werk - Innere Mission und Hilfswerk der Evangelischen Kirche in Deutschland sowie Zentralwohlfahrtsstelle der Juden in Deutschland e.V.) einschließlich ihrer Untergliederungen, Einrichtungen und Anstalten und sonstiger gemeinnütziger Wohlfahrtsverbände oder</w:t>
      </w:r>
    </w:p>
    <w:p>
      <w:pPr>
        <w:ind w:left="1140"/>
      </w:pPr>
      <w:r>
        <w:t xml:space="preserve">cc) auf Arbeitnehmer sonstiger Körperschaften, Personenvereinigungen und Vermögensmassen im Sinne der §§ 1 und 2; den Arbeitnehmern stehen Personen, die sich in einem arbeitnehmerähnlichen Verhältnis befinden, gleich;</w:t>
      </w:r>
    </w:p>
    <w:p>
      <w:pPr>
        <w:ind w:left="780"/>
      </w:pPr>
      <w:r>
        <w:t xml:space="preserve">zu den Zugehörigen oder Arbeitnehmern rechnen jeweils auch deren Angehörige;</w:t>
      </w:r>
    </w:p>
    <w:p>
      <w:pPr>
        <w:ind w:left="780"/>
      </w:pPr>
      <w:r>
        <w:t xml:space="preserve">b) wenn sichergestellt ist, dass der Betrieb der Kasse nach dem Geschäftsplan und nach Art und Höhe der Leistungen eine soziale Einrichtung darstellt. 2Diese Voraussetzung ist bei Unterstützungskassen, die Leistungen von Fall zu Fall gewähren, nur gegeben, wenn sich diese Leistungen mit Ausnahme des Sterbegeldes auf Fälle der Not oder Arbeitslosigkeit beschränken;</w:t>
      </w:r>
    </w:p>
    <w:p>
      <w:pPr>
        <w:ind w:left="780"/>
      </w:pPr>
      <w:r>
        <w:t xml:space="preserve">c) wenn vorbehaltlich des § 6 die ausschließliche und unmittelbare Verwendung des Vermögens und der Einkünfte der Kasse nach der Satzung und der tatsächlichen Geschäftsführung für die Zwecke der Kasse dauernd gesichert ist;</w:t>
      </w:r>
    </w:p>
    <w:p>
      <w:pPr>
        <w:ind w:left="780"/>
      </w:pPr>
      <w:r>
        <w:t xml:space="preserve">d) wenn bei Pensions-, Sterbe- und Krankenkassen am Schluss des Wirtschaftsjahrs, zu dem der Wert der Deckungsrückstellung versicherungsmathematisch zu berechnen ist, das nach den handelsrechtlichen Grundsätzen ordnungsmäßiger Buchführung unter Berücksichtigung des Geschäftsplans sowie der allgemeinen Versicherungsbedingungen und der fachlichen Geschäftsunterlagen im Sinne des § 219 Absatz 3 Nummer 1 des Versicherungsaufsichtsgesetzes auszuweisende Vermögen nicht höher ist als bei einem Versicherungsverein auf Gegenseitigkeit die Verlustrücklage und bei einer Kasse anderer Rechtsform der dieser Rücklage entsprechende Teil des Vermögens. 2Bei der Ermittlung des Vermögens ist eine Rückstellung für Beitragsrückerstattung nur insoweit abziehbar, als den Leistungsempfängern ein Anspruch auf die Überschussbeteiligung zusteht. 3Übersteigt das Vermögen der Kasse den bezeichneten Betrag, so ist die Kasse nach Maßgabe des § 6 Abs. 1 bis 4 steuerpflichtig; und</w:t>
      </w:r>
    </w:p>
    <w:p>
      <w:pPr>
        <w:ind w:left="780"/>
      </w:pPr>
      <w:r>
        <w:t xml:space="preserve">e) wenn bei Unterstützungskassen am Schluss des Wirtschaftsjahrs das Vermögen ohne Berücksichtigung künftiger Versorgungsleistungen nicht höher ist als das um 25 Prozent erhöhte zulässige Kassenvermögen. 2Für die Ermittlung des tatsächlichen und des zulässigen Kassenvermögens gilt § 4d des Einkommensteuergesetzes. 3Übersteigt das Vermögen der Kasse den in Satz 1 bezeichneten Betrag, so ist die Kasse nach Maßgabe des § 6 Abs. 5 steuerpflichtig;</w:t>
      </w:r>
    </w:p>
    <w:p>
      <w:pPr>
        <w:ind w:left="420"/>
      </w:pPr>
      <w:r>
        <w:t xml:space="preserve">4. kleinere Versicherungsvereine auf Gegenseitigkeit im Sinne des § 210 des Versicherungsaufsichtsgesetzes, wenn</w:t>
      </w:r>
    </w:p>
    <w:p>
      <w:pPr>
        <w:ind w:left="780"/>
      </w:pPr>
      <w:r>
        <w:t xml:space="preserve">a) ihre Beitragseinnahmen im Durchschnitt der letzten drei Wirtschaftsjahre einschließlich des im Veranlagungszeitraum endenden Wirtschaftsjahrs die durch Rechtsverordnung festzusetzenden Jahresbeträge nicht überstiegen haben oder</w:t>
      </w:r>
    </w:p>
    <w:p>
      <w:pPr>
        <w:ind w:left="780"/>
      </w:pPr>
      <w:r>
        <w:t xml:space="preserve">b) sich ihr Geschäftsbetrieb auf die Sterbegeldversicherung beschränkt und die Versicherungsvereine nach dem Geschäftsplan sowie nach Art und Höhe der Leistungen soziale Einrichtungen darstellen;</w:t>
      </w:r>
    </w:p>
    <w:p>
      <w:pPr>
        <w:ind w:left="420"/>
      </w:pPr>
      <w:r>
        <w:t xml:space="preserve">5. Berufsverbände ohne öffentlich-rechtlichen Charakter sowie kommunale Spitzenverbände auf Bundes- oder Landesebene einschließlich ihrer Zusammenschlüsse, wenn der Zweck dieser Verbände nicht auf einen wirtschaftlichen Geschäftsbetrieb gerichtet ist. 2Die Steuerbefreiung ist ausgeschlossen,</w:t>
      </w:r>
    </w:p>
    <w:p>
      <w:pPr>
        <w:ind w:left="780"/>
      </w:pPr>
      <w:r>
        <w:t xml:space="preserve">a) soweit die Körperschaften oder Personenvereinigungen einen wirtschaftlichen Geschäftsbetrieb unterhalten oder</w:t>
      </w:r>
    </w:p>
    <w:p>
      <w:pPr>
        <w:ind w:left="780"/>
      </w:pPr>
      <w:r>
        <w:t xml:space="preserve">b) wenn die Berufsverbände Mittel von mehr als 10 Prozent der Einnahmen für die unmittelbare oder mittelbare Unterstützung oder Förderung politischer Parteien verwenden.</w:t>
      </w:r>
    </w:p>
    <w:p>
      <w:pPr>
        <w:ind w:left="420"/>
      </w:pPr>
      <w:r>
        <w:t xml:space="preserve">3Die Sätze 1 und 2 gelten auch für Zusammenschlüsse von juristischen Personen des öffentlichen Rechts, die wie die Berufsverbände allgemeine ideelle und wirtschaftliche Interessen ihrer Mitglieder wahrnehmen. 4Verwenden Berufsverbände Mittel für die unmittelbare oder mittelbare Unterstützung oder Förderung politischer Parteien, beträgt die Körperschaftsteuer 50 Prozent der Zuwendungen;</w:t>
      </w:r>
    </w:p>
    <w:p>
      <w:pPr>
        <w:ind w:left="420"/>
      </w:pPr>
      <w:r>
        <w:t xml:space="preserve">6. Körperschaften oder Personenvereinigungen, deren Hauptzweck die Verwaltung des Vermögens für einen nichtrechtsfähigen Berufsverband der in Nummer 5 bezeichneten Art ist, sofern ihre Erträge im Wesentlichen aus dieser Vermögensverwaltung herrühren und ausschließlich dem Berufsverband zufließen;</w:t>
      </w:r>
    </w:p>
    <w:p>
      <w:pPr>
        <w:ind w:left="420"/>
      </w:pPr>
      <w:r>
        <w:t xml:space="preserve">7. politische Parteien im Sinne des § 2 des Parteiengesetzes und ihre Gebietsverbände, sofern die jeweilige Partei nicht gemäß § 18 Absatz 7 des Parteiengesetzes von der staatlichen Teilfinanzierung ausgeschlossen ist, sowie kommunale Wählervereinigungen und ihre Dachverbände. 2Wird ein wirtschaftlicher Geschäftsbetrieb unterhalten, so ist die Steuerbefreiung insoweit ausgeschlossen;</w:t>
      </w:r>
    </w:p>
    <w:p>
      <w:pPr>
        <w:ind w:left="420"/>
      </w:pPr>
      <w:r>
        <w:t xml:space="preserve">8. öffentlich-rechtliche Versicherungs- und Versorgungseinrichtungen von Berufsgruppen, deren Angehörige auf Grund einer durch Gesetz angeordneten oder auf Gesetz beruhenden Verpflichtung Mitglieder dieser Einrichtung sind, wenn die Satzung der Einrichtung die Zahlung keiner höheren jährlichen Beiträge zulässt als das Zwölffache der Beiträge, die sich bei einer Beitragsbemessungsgrundlage in Höhe der doppelten monatlichen Beitragsbemessungsgrenze in der allgemeinen Rentenversicherung ergeben würden. 2Ermöglicht die Satzung der Einrichtung nur Pflichtmitgliedschaften sowie freiwillige Mitgliedschaften, die unmittelbar an eine Pflichtmitgliedschaft anschließen, so steht dies der Steuerbefreiung nicht entgegen, wenn die Satzung die Zahlung keiner höheren jährlichen Beiträge zulässt als das Fünfzehnfache der Beiträge, die sich bei einer Beitragsbemessungsgrundlage in Höhe der doppelten monatlichen Beitragsbemessungsgrenze in der allgemeinen Rentenversicherung ergeben würden;</w:t>
      </w:r>
    </w:p>
    <w:p>
      <w:pPr>
        <w:ind w:left="420"/>
      </w:pPr>
      <w:r>
        <w:t xml:space="preserve">9. Körperschaften, Personenvereinigungen und Vermögensmassen, die nach der Satzung, dem Stiftungsgeschäft oder der sonstigen Verfassung und nach der tatsächlichen Geschäftsführung ausschließlich und unmittelbar gemeinnützigen, mildtätigen oder kirchlichen Zwecken dienen (§§ 51 bis 68 der Abgabenordnung). 2Wird ein wirtschaftlicher Geschäftsbetrieb unterhalten, ist die Steuerbefreiung insoweit ausgeschlossen. 3Satz 2 gilt nicht für selbstbewirtschaftete Forstbetriebe;</w:t>
      </w:r>
    </w:p>
    <w:p>
      <w:pPr>
        <w:ind w:left="420"/>
      </w:pPr>
      <w:r>
        <w:t xml:space="preserve">10. Genossenschaften sowie Vereine, soweit sie</w:t>
      </w:r>
    </w:p>
    <w:p>
      <w:pPr>
        <w:ind w:left="780"/>
      </w:pPr>
      <w:r>
        <w:t xml:space="preserve">a) Wohnungen herstellen oder erwerben und sie den Mitgliedern auf Grund eines Mietvertrags oder auf Grund eines genossenschaftlichen Nutzungsvertrags zum Gebrauch überlassen; den Wohnungen stehen Räume in Wohnheimen im Sinne des § 15 des Zweiten Wohnungsbaugesetzes gleich;</w:t>
      </w:r>
    </w:p>
    <w:p>
      <w:pPr>
        <w:ind w:left="780"/>
      </w:pPr>
      <w:r>
        <w:t xml:space="preserve">b) im Zusammenhang mit einer Tätigkeit im Sinne des Buchstabens a Gemeinschaftsanlagen oder Folgeeinrichtungen herstellen oder erwerben und sie betreiben, wenn sie überwiegend für Mitglieder bestimmt sind und der Betrieb durch die Genossenschaft oder den Verein notwendig ist.</w:t>
      </w:r>
    </w:p>
    <w:p>
      <w:pPr>
        <w:ind w:left="420"/>
      </w:pPr>
      <w:r>
        <w:t xml:space="preserve">2Die Steuerbefreiung ist ausgeschlossen, wenn die Einnahmen des Unternehmens aus den in Satz 1 nicht bezeichneten Tätigkeiten 10 Prozent der gesamten Einnahmen übersteigen. 3Erzielt das Unternehmen Einnahmen aus der Lieferung von Strom aus Anlagen, für den es unter den Voraussetzungen des § 21 Absatz 3 des Erneuerbare-Energien-Gesetzes einen Anspruch auf Zahlung eines Mieterstromzuschlags hat, oder aus der Bereitstellung von Strom aus Gebäudestromanlagen gemäß § 3 Nummer 53 des Energiewirtschaftsgesetzes zur Nutzung durch Letztverbraucher im Rahmen der Gemeinschaftlichen Gebäudeversorgung, erhöht sich die Grenze des Satzes 2 für diese Einnahmen auf 30 Prozent, wenn die Grenze des Satzes 2 nur durch diese Einnahmen überschritten wird. 4Zu den Einnahmen nach Satz 3 gehören auch Einnahmen aus der zusätzlichen Stromlieferung im Sinne des § 42a Absatz 2 Satz 6 des Energiewirtschaftsgesetzes sowie Einnahmen aus der Einspeisung von Strom aus diesen Anlagen. 5Investierende Mitglieder im Sinne des § 8 Absatz 2 des Genossenschaftsgesetzes sind keine Mitglieder im Sinne des Satzes 1. 6Satz 1 ist auch auf Verträge zur vorübergehenden Unterbringung von Wohnungslosen anzuwenden, die mit juristischen Personen des öffentlichen Rechts oder mit Steuerpflichtigen im Sinne der Nummer 9, die Mitglied sind, abgeschlossen werden. 7Eine Einweisungsverfügung nach den Ordnungsbehördengesetzen der Länder steht dem Abschluss eines Vertrags im Sinne des Satzes 6 gleich;</w:t>
      </w:r>
    </w:p>
    <w:p>
      <w:pPr>
        <w:ind w:left="420"/>
      </w:pPr>
      <w:r>
        <w:t xml:space="preserve">11. (weggefallen)</w:t>
      </w:r>
    </w:p>
    <w:p>
      <w:pPr>
        <w:ind w:left="420"/>
      </w:pPr>
      <w:r>
        <w:t xml:space="preserve">12. die von den zuständigen Landesbehörden begründeten oder anerkannten gemeinnützigen Siedlungsunternehmen im Sinne des Reichssiedlungsgesetzes in der jeweils aktuellen Fassung oder entsprechender Landesgesetze, soweit diese Landesgesetze nicht wesentlich von den Bestimmungen des Reichssiedlungsgesetzes abweichen, und im Sinne der Bodenreformgesetze der Länder, soweit die Unternehmen im ländlichen Raum Siedlungs-, Agrarstrukturverbesserungs- und Landentwicklungsmaßnahmen mit Ausnahme des Wohnungsbaus durchführen. 2Die Steuerbefreiung ist ausgeschlossen, wenn die Einnahmen des Unternehmens aus den in Satz 1 nicht bezeichneten Tätigkeiten die Einnahmen aus den in Satz 1 bezeichneten Tätigkeiten übersteigen;</w:t>
      </w:r>
    </w:p>
    <w:p>
      <w:pPr>
        <w:ind w:left="420"/>
      </w:pPr>
      <w:r>
        <w:t xml:space="preserve">13. (weggefallen)</w:t>
      </w:r>
    </w:p>
    <w:p>
      <w:pPr>
        <w:ind w:left="420"/>
      </w:pPr>
      <w:r>
        <w:t xml:space="preserve">14. Genossenschaften sowie Vereine, soweit sich ihr Geschäftsbetrieb beschränkt</w:t>
      </w:r>
    </w:p>
    <w:p>
      <w:pPr>
        <w:ind w:left="780"/>
      </w:pPr>
      <w:r>
        <w:t xml:space="preserve">a) auf die gemeinschaftliche Benutzung land- und forstwirtschaftlicher Betriebseinrichtungen oder Betriebsgegenstände,</w:t>
      </w:r>
    </w:p>
    <w:p>
      <w:pPr>
        <w:ind w:left="780"/>
      </w:pPr>
      <w:r>
        <w:t xml:space="preserve">b) auf Leistungen im Rahmen von Dienst- oder Werkverträgen für die Produktion land- und forstwirtschaftlicher Erzeugnisse für die Betriebe der Mitglieder, wenn die Leistungen im Bereich der Land- und Forstwirtschaft liegen; dazu gehören auch Leistungen zur Erstellung und Unterhaltung von Betriebsvorrichtungen, Wirtschaftswegen und Bodenverbesserungen,</w:t>
      </w:r>
    </w:p>
    <w:p>
      <w:pPr>
        <w:ind w:left="780"/>
      </w:pPr>
      <w:r>
        <w:t xml:space="preserve">c) auf die Bearbeitung oder die Verwertung der von den Mitgliedern selbst gewonnenen land- und forstwirtschaftlichen Erzeugnisse, wenn die Bearbeitung oder die Verwertung im Bereich der Land- und Forstwirtschaft liegt, oder</w:t>
      </w:r>
    </w:p>
    <w:p>
      <w:pPr>
        <w:ind w:left="780"/>
      </w:pPr>
      <w:r>
        <w:t xml:space="preserve">d) auf die Beratung für die Produktion oder Verwertung land- und forstwirtschaftlicher Erzeugnisse der Betriebe der Mitglieder.</w:t>
      </w:r>
    </w:p>
    <w:p>
      <w:pPr>
        <w:ind w:left="420"/>
      </w:pPr>
      <w:r>
        <w:t xml:space="preserve">2Die Steuerbefreiung ist ausgeschlossen, wenn die Einnahmen des Unternehmens aus den in Satz 1 nicht bezeichneten Tätigkeiten 10 Prozent der gesamten Einnahmen übersteigen. 3Bei Genossenschaften und Vereinen, deren Geschäftsbetrieb sich überwiegend auf die Durchführung von Milchqualitäts- und Milchleistungsprüfungen oder auf die Tierbesamung beschränkt, bleiben die auf diese Tätigkeiten gerichteten Zweckgeschäfte mit Nichtmitgliedern bei der Berechnung der 10-Prozentgrenze außer Ansatz;</w:t>
      </w:r>
    </w:p>
    <w:p>
      <w:pPr>
        <w:ind w:left="420"/>
      </w:pPr>
      <w:r>
        <w:t xml:space="preserve">15. der Pensions-Sicherungs-Verein Versicherungsverein auf Gegenseitigkeit,</w:t>
      </w:r>
    </w:p>
    <w:p>
      <w:pPr>
        <w:ind w:left="780"/>
      </w:pPr>
      <w:r>
        <w:t xml:space="preserve">a) wenn er mit Erlaubnis der Versicherungsaufsichtsbehörde ausschließlich die Aufgaben des Trägers der Insolvenzsicherung wahrnimmt, die sich aus dem Gesetz zur Verbesserung der betrieblichen Altersversorgung vom 19. Dezember 1974 (BGBl. I S. 3610) ergeben, und</w:t>
      </w:r>
    </w:p>
    <w:p>
      <w:pPr>
        <w:ind w:left="780"/>
      </w:pPr>
      <w:r>
        <w:t xml:space="preserve">b) wenn seine Leistungen nach dem Kreis der Empfänger sowie nach Art und Höhe den in den §§ 7 bis 9, 17 und 30 des Gesetzes zur Verbesserung der betrieblichen Altersversorgung bezeichneten Rahmen nicht überschreiten;</w:t>
      </w:r>
    </w:p>
    <w:p>
      <w:pPr>
        <w:ind w:left="420"/>
      </w:pPr>
      <w:r>
        <w:t xml:space="preserve">16. Körperschaften, Personenvereinigungen und Vermögenmassen, soweit sie</w:t>
      </w:r>
    </w:p>
    <w:p>
      <w:pPr>
        <w:ind w:left="780"/>
      </w:pPr>
      <w:r>
        <w:t xml:space="preserve">a) als Einlagensicherungssysteme im Sinne des § 2 Absatz 1 des Einlagensicherungsgesetzes sowie als Entschädigungseinrichtungen im Sinne des Anlegerentschädigungsgesetzes ihre gesetz­lichen Pflichtaufgaben erfüllen oder</w:t>
      </w:r>
    </w:p>
    <w:p>
      <w:pPr>
        <w:ind w:left="780"/>
      </w:pPr>
      <w:r>
        <w:t xml:space="preserve">b) als nicht als Einlagensicherungssysteme anerkannte vertragliche Systeme zum Schutz von Einlagen und institutsbezogene Sicherungssysteme im Sinne des § 61 des Einlagensicherungsgesetzes nach ihrer Satzung oder sonstigen Verfassung ausschließlich den Zweck haben, Einlagen zu sichern oder bei Gefahr für die Erfüllung der Verpflichtungen eines Kreditinstituts im Sinne des § 1 Absatz 1 des Kreditwesengesetzes oder eines Finanzdienstleistungsinstituts im Sinne des § 1 Absatz 1a Satz 2 Nummer 1 bis 4 des Kreditwesengesetzes oder eines Wertpapierinstituts im Sinne des § 2 Absatz 1 des Wertpapierinstitutsgesetzes Hilfe zu leisten oder Einlagensicherungssysteme im Sinne des § 2 Absatz 1 des Einlagensicherungsgesetzes bei deren Pflichtenerfüllung zu unterstützen.</w:t>
      </w:r>
    </w:p>
    <w:p>
      <w:pPr>
        <w:ind w:left="420"/>
      </w:pPr>
      <w:r>
        <w:t xml:space="preserve">2Voraussetzung für die Steuerbefreiung nach Satz 1 ist zusätzlich, dass das Vermögen und etwa erzielte Überschüsse dauernd nur zur Erreichung des gesetzlichen oder satzungsmäßigen Zwecks verwendet werden. 3Die Sätze 1 und 2 gelten entsprechend für Sicherungsfonds im Sinne der §§ 223 und 224 des Versicherungsaufsichtsgesetzes sowie für Einrichtungen zur Sicherung von Einlagen bei Wohnungsgenossenschaften mit Spareinrichtung. 4Die Steuerbefreiung ist für wirtschaftliche Geschäftsbetriebe ausgeschlossen, die nicht ausschließlich auf die Erfüllung der begünstigen Aufgaben gerichtet sind;</w:t>
      </w:r>
    </w:p>
    <w:p>
      <w:pPr>
        <w:ind w:left="420"/>
      </w:pPr>
      <w:r>
        <w:t xml:space="preserve">17. Bürgschaftsbanken (Kreditgarantiegemeinschaften), deren Tätigkeit sich auf die Wahrnehmung von Wirtschaftsförderungsmaßnahmen insbesondere in Form der Übernahme und Verwaltung von staatlichen Bürgschaften und Garantien oder von Bürgschaften und Garantien mit staatlichen Rückbürgschaften oder auf der Grundlage staatlich anerkannter Richtlinien gegenüber Kreditinstituten, Versicherungsunternehmen, Leasinggesellschaften und Beteiligungsgesellschaften für Kredite, Leasingforderungen und Beteiligungen an mittelständischen Unternehmen zu ihrer Gründung und zur Erhaltung und Förderung ihrer Leistungsfähigkeit beschränkt. 2Voraussetzung ist, dass das Vermögen und etwa erzielte Überschüsse nur zur Erreichung des in Satz 1 genannten Zwecks verwendet werden;</w:t>
      </w:r>
    </w:p>
    <w:p>
      <w:pPr>
        <w:ind w:left="420"/>
      </w:pPr>
      <w:r>
        <w:t xml:space="preserve">18. Wirtschaftsförderungsgesellschaften, deren Tätigkeit sich auf die Verbesserung der sozialen und wirtschaftlichen Struktur einer bestimmten Region durch Förderung der Wirtschaft, insbesondere durch Industrieansiedlung, Beschaffung neuer Arbeitsplätze und der Sanierung von Altlasten beschränkt, wenn an ihnen überwiegend Gebietskörperschaften beteiligt sind. Voraussetzung ist, dass das Vermögen und etwa erzielte Überschüsse nur zur Erreichung des in Satz 1 genannten Zwecks verwendet werden;</w:t>
      </w:r>
    </w:p>
    <w:p>
      <w:pPr>
        <w:ind w:left="420"/>
      </w:pPr>
      <w:r>
        <w:t xml:space="preserve">19. Gesamthafenbetriebe im Sinne des § 1 des Gesetzes über die Schaffung eines besonderen Arbeitgebers für Hafenarbeiter vom 3. August 1950 (BGBl. I S. 352), soweit sie Tätigkeiten ausüben, die in § 2 Abs. 1 dieses Gesetzes bestimmt und nach § 2 Abs. 2 dieses Gesetzes genehmigt worden sind. 2Voraussetzung ist, dass das Vermögen und etwa erzielte Überschüsse nur zur Erfüllung der begünstigten Tätigkeiten verwendet werden. 3Wird ein wirtschaftlicher Geschäftsbetrieb unterhalten, dessen Tätigkeit nicht ausschließlich auf die Erfüllung der begünstigten Tätigkeiten gerichtet ist, ist die Steuerbefreiung insoweit ausgeschlossen;</w:t>
      </w:r>
    </w:p>
    <w:p>
      <w:pPr>
        <w:ind w:left="420"/>
      </w:pPr>
      <w:r>
        <w:t xml:space="preserve">20. Zusammenschlüsse von juristischen Personen des öffentlichen Rechts, von steuerbefreiten Körperschaften oder von steuerbefreiten Personenvereinigungen,</w:t>
      </w:r>
    </w:p>
    <w:p>
      <w:pPr>
        <w:ind w:left="780"/>
      </w:pPr>
      <w:r>
        <w:t xml:space="preserve">a) deren Tätigkeit sich auf den Zweck beschränkt, im Wege des Umlageverfahrens die Versorgungslasten auszugleichen, die den Mitgliedern aus Versorgungszusagen gegenüber ihren Arbeitnehmern erwachsen,</w:t>
      </w:r>
    </w:p>
    <w:p>
      <w:pPr>
        <w:ind w:left="780"/>
      </w:pPr>
      <w:r>
        <w:t xml:space="preserve">b) wenn am Schluss des Wirtschaftsjahrs das Vermögen nicht höher ist als 60 Prozent der im Wirtschaftsjahr erbrachten Leistungen an die Mitglieder;</w:t>
      </w:r>
    </w:p>
    <w:p>
      <w:pPr>
        <w:ind w:left="420"/>
      </w:pPr>
      <w:r>
        <w:t xml:space="preserve">21. die nicht in der Rechtsform einer Körperschaft des öffentlichen Rechts errichteten Arbeitsgemeinschaften Medizinischer Dienst der Krankenversicherung im Sinne des § 278 des Fünften Buches Sozialgesetzbuch und der Medizinische Dienst der Spitzenverbände der Krankenkassen im Sinne des § 282 des Fünften Buches Sozialgesetzbuch, soweit sie die ihnen durch Gesetz zugewiesenen Aufgaben wahrnehmen. 2Voraussetzung ist, dass das Vermögen und etwa erzielte Überschüsse nur zur Erreichung der in Satz 1 genannten Zwecke verwendet werden;</w:t>
      </w:r>
    </w:p>
    <w:p>
      <w:pPr>
        <w:ind w:left="420"/>
      </w:pPr>
      <w:r>
        <w:t xml:space="preserve">22. gemeinsame Einrichtungen der Tarifvertragsparteien im Sinne des § 4 Abs. 2 des Tarifvertragsgesetzes vom 25. August 1969 (BGBl. I S. 1323), die satzungsmäßige Beiträge auf der Grundlage des § 186a des Arbeitsförderungsgesetzes vom 25. Juni 1969 (BGBl. I S. 582) oder tarifvertraglicher Vereinbarungen erheben und Leistungen ausschließlich an die tarifgebundenen Arbeitnehmer des Gewerbezweigs oder an deren Hinterbliebene erbringen, wenn sie dabei zu nicht steuerbegünstigten Betrieben derselben oder ähnlicher Art nicht in größerem Umfang in Wettbewerb treten, als es bei Erfüllung ihrer begünstigten Aufgaben unvermeidlich ist. 2Wird ein wirtschaftlicher Geschäftsbetrieb unterhalten, dessen Tätigkeit nicht ausschließlich auf die Erfüllung der begünstigten Tätigkeiten gerichtet ist, ist die Steuerbefreiung insoweit ausgeschlossen;</w:t>
      </w:r>
    </w:p>
    <w:p>
      <w:pPr>
        <w:ind w:left="420"/>
      </w:pPr>
      <w:r>
        <w:t xml:space="preserve">23. die Auftragsforschung öffentlich-rechtlicher Wissenschafts- und Forschungseinrichtungen; ist die Tätigkeit auf die Anwendung gesicherter wissenschaftlicher Erkenntnisse, die Übernahme von Projektträgerschaften sowie wirtschaftliche Tätigkeiten ohne Forschungsbezug gerichtet, ist die Steuerbefreiung insoweit ausgeschlossen;</w:t>
      </w:r>
    </w:p>
    <w:p>
      <w:pPr>
        <w:ind w:left="420"/>
      </w:pPr>
      <w:r>
        <w:t xml:space="preserve">24. die Global Legal Entity Identifier Stiftung, soweit die Stiftung Tätigkeiten ausübt, die im unmittelbaren Zusammenhang mit der Einführung, dem Unterhalten und der Fortentwicklung eines Systems zur eindeutigen Identifikation von Rechtspersonen mittels eines weltweit anzuwendenden Referenzcodes stehen.</w:t>
      </w:r>
    </w:p>
    <w:p>
      <w:r>
        <w:t xml:space="preserve">(2) Die Befreiungen nach Absatz 1 und nach anderen Gesetzen als dem Körperschaftsteuergesetz gelten nicht</w:t>
      </w:r>
    </w:p>
    <w:p>
      <w:pPr>
        <w:ind w:left="420"/>
      </w:pPr>
      <w:r>
        <w:t xml:space="preserve">1. für inländische Einkünfte, die dem Steuerabzug vollständig oder teilweise unterliegen; Entsprechendes gilt für die in § 32 Abs. 3 Satz 1 zweiter Halbsatz genannten Einkünfte,</w:t>
      </w:r>
    </w:p>
    <w:p>
      <w:pPr>
        <w:ind w:left="420"/>
      </w:pPr>
      <w:r>
        <w:t xml:space="preserve">2. für beschränkt Steuerpflichtige im Sinne des § 2 Nr. 1, es sei denn, es handelt sich um Steuerpflichtige im Sinne des Absatzes 1 Nr. 9, die nach den Rechtsvorschriften eines Mitgliedstaats der Europäischen Union oder nach den Rechtsvorschriften eines Staates, auf den das Abkommen über den Europäischen Wirtschaftsraum vom 3. Januar 1994 (ABl. EG Nr. L 1 S. 3), zuletzt geändert durch den Beschluss des Gemeinsamen EWR-Ausschusses Nr. 91/2007 vom 6. Juli 2007 (ABl. EU Nr. L 328 S. 40), in der jeweiligen Fassung Anwendung findet, gegründete Gesellschaften im Sinne des Artikels 54 des Vertrags über die Arbeitsweise der Europäischen Union oder des Artikels 34 des Abkommens über den Europäischen Wirtschaftsraum sind, deren Sitz und Ort der Geschäftsleitung sich innerhalb des Hoheitsgebiets eines dieser Staaten befindet, und mit diesen Staaten ein Amtshilfeabkommen besteht,</w:t>
      </w:r>
    </w:p>
    <w:p>
      <w:pPr>
        <w:ind w:left="420"/>
      </w:pPr>
      <w:r>
        <w:t xml:space="preserve">3. soweit § 38 Abs. 2 anzuwenden ist.</w:t>
      </w:r>
    </w:p>
    <w:p>
      <w:r>
        <w:rPr>
          <w:color w:val="555555"/>
          <w:sz w:val="17"/>
        </w:rPr>
        <w:t xml:space="preserve">Zitiervorschlag: § 5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https://recht.nulegal.eu/gesetze/KStG%201977/5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