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KStG 1977 — Einlagen der Anteilseigner und Sonderausweis</w:t>
      </w:r>
    </w:p>
    <w:p>
      <w:r>
        <w:rPr>
          <w:color w:val="555555"/>
          <w:sz w:val="18"/>
        </w:rPr>
        <w:t xml:space="preserve">Körperschaftsteuergesetz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sich nach § 36 Abs. 7 ergebender positiver Endbetrag des Teilbetrags im Sinne des § 30 Abs. 2 Nr. 4 des Körperschaftsteuergesetzes in der Fassung der Bekanntmachung vom 22. April 1999 (BGBl. I S. 817), das zuletzt durch Artikel 4 des Gesetzes vom 14. Juli 2000 (BGBl. I S. 1034) geändert worden ist, wird als Anfangsbestand des steuerlichen Einlagekontos im Sinne des § 27 erfasst.</w:t>
      </w:r>
    </w:p>
    <w:p>
      <w:r>
        <w:t xml:space="preserve">(2) Der nach § 47 Abs. 1 Satz 1 Nr. 2 in der Fassung des Artikels 4 des Gesetzes vom 14. Juli 2000 (BGBl. I S. 1034) zuletzt festgestellte Betrag wird als Anfangsbestand in die Feststellung nach § 28 Abs. 1 Satz 3 einbezogen.</w:t>
      </w:r>
    </w:p>
    <w:p>
      <w:r>
        <w:rPr>
          <w:color w:val="555555"/>
          <w:sz w:val="17"/>
        </w:rPr>
        <w:t xml:space="preserve">Zitiervorschlag: § 39 KStG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https://recht.nulegal.eu/gesetze/KStG%201977/39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