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KStG 1977 — Körperschaftsteuererhöhung</w:t>
      </w:r>
    </w:p>
    <w:p>
      <w:r>
        <w:rPr>
          <w:color w:val="555555"/>
          <w:sz w:val="18"/>
        </w:rPr>
        <w:t xml:space="preserve">Körperschaftsteuergesetz</w:t>
      </w:r>
    </w:p>
    <w:p>
      <w:r>
        <w:rPr>
          <w:color w:val="555555"/>
          <w:sz w:val="18"/>
        </w:rPr>
        <w:t xml:space="preserve">Stand: 10.06.2019 (konsolidierte Textfassung, kein amtliches Inkrafttretensdatum)</w:t>
      </w:r>
    </w:p>
    <w:p>
      <w:r>
        <w:t xml:space="preserve">(1) 1Ein positiver Endbetrag im Sinne des § 36 Abs. 7 aus dem Teilbetrag im Sinne des § 30 Abs. 2 Nr. 2 in der Fassung des Artikels 4 des Gesetzes vom 14. Juli 2000 (BGBl. I S. 1034) ist auch zum Schluss der folgenden Wirtschaftsjahre fortzuschreiben und gesondert festzustellen. 2§ 27 Abs. 2 gilt entsprechend. 3Der Betrag verringert sich jeweils, soweit er als für Leistungen verwendet gilt. 4Er gilt als für Leistungen verwendet, soweit die Summe der Leistungen, die die Gesellschaft im Wirtschaftsjahr erbracht hat, den um den Bestand des Satzes 1 verminderten ausschüttbaren Gewinn (§ 27) übersteigt. 5Maßgeblich sind die Bestände zum Schluss des vorangegangenen Wirtschaftsjahrs. 6Die Rückzahlung von Geschäftsguthaben an ausscheidende Mitglieder von Genossenschaften stellt, soweit es sich dabei nicht um Nennkapital im Sinne des § 28 Abs. 2 Satz 2 handelt, keine Leistung im Sinne der Sätze 3 und 4 dar. 7Satz 6 gilt nicht, soweit der unbelastete Teilbetrag im Sinne des Satzes 1 nach § 40 Abs. 1 oder Abs. 2 infolge der Umwandlung einer Körperschaft, die nicht Genossenschaft im Sinne des § 34 Absatz 13 ist, übergegangen ist.</w:t>
      </w:r>
    </w:p>
    <w:p>
      <w:r>
        <w:t xml:space="preserve">(2) 1Die Körperschaftsteuer des Veranlagungszeitraums, in dem das Wirtschaftsjahr endet, in dem die Leistungen erfolgen, erhöht sich um 3/7 des Betrags der Leistungen, für die ein Teilbetrag aus dem Endbetrag im Sinne des Absatzes 1 als verwendet gilt. 2Die Körperschaftsteuererhöhung mindert den Endbetrag im Sinne des Absatzes 1 bis zu dessen Verbrauch. 3Satz 1 ist letztmals für den Veranlagungszeitraum anzuwenden, in dem das 18. Wirtschaftsjahr endet, das auf das Wirtschaftsjahr folgt, auf dessen Schluss nach § 37 Abs. 1 Körperschaftsteuerguthaben ermittelt werden.</w:t>
      </w:r>
    </w:p>
    <w:p>
      <w:r>
        <w:t xml:space="preserve">(3) 1Die Körperschaftsteuer wird nicht erhöht, soweit eine von der Körperschaftsteuer befreite Körperschaft Leistungen an einen unbeschränkt steuerpflichtigen, von der Körperschaftsteuer befreiten Anteilseigner oder an eine juristische Person des öffentlichen Rechts vornimmt. 2Der Anteilseigner ist verpflichtet, der ausschüttenden Körperschaft seine Befreiung durch eine Bescheinigung des Finanzamts nachzuweisen, es sei denn, er ist eine juristische Person des öffentlichen Rechts. 3Das gilt nicht, soweit die Leistung auf Anteile entfällt, die in einem wirtschaftlichen Geschäftsbetrieb gehalten werden, für den die Befreiung von der Körperschaftsteuer ausgeschlossen ist, oder in einem nicht von der Körperschaftsteuer befreiten Betrieb gewerblicher Art.</w:t>
      </w:r>
    </w:p>
    <w:p>
      <w:r>
        <w:t xml:space="preserve">(4) 1Der Endbetrag nach Absatz 1 wird letztmalig auf den 31. Dezember 2006 ermittelt und festgestellt. 2Wird das Vermögen einer Körperschaft oder Personenvereinigung im Rahmen einer Liquidation im Sinne des § 11 nach dem 31. Dezember 2006 verteilt, wird der Endbetrag im Sinne des Satzes 1 letztmalig auf den Schluss des letzten vor dem 1. Januar 2007 endenden Besteuerungszeitraums festgestellt. 3Bei über den 31. Dezember 2006 hinaus fortdauernden Liquidationen endet der Besteuerungszeitraum nach § 11 auf Antrag der Körperschaft oder Personenvereinigung mit Ablauf des 31. Dezember 2006. 4Die Absätze 1 bis 3 sind letztmals auf Leistungen anzuwenden, die vor dem 1. Januar 2007 oder dem nach Satz 2 maßgebenden Zeitpunkt erfolgt sind.</w:t>
      </w:r>
    </w:p>
    <w:p>
      <w:r>
        <w:t xml:space="preserve">(5) 1Der Körperschaftsteuererhöhungsbetrag beträgt 3/100 des nach Absatz 4 Satz 1 festgestellten Endbetrags. 2Er ist begrenzt auf den Betrag, der sich nach den Absätzen 1 bis 3 als Körperschaftsteuererhöhung ergeben würde, wenn die Körperschaft oder Personenvereinigung ihr am 31. Dezember 2006 oder an dem nach Absatz 4 Satz 2 maßgebenden Zeitpunkt bestehendes Eigenkapital laut Steuerbilanz für eine Ausschüttung verwenden würde. 3Ein Körperschaftsteuererhöhungsbetrag ist nur festzusetzen, wenn er 1 000 Euro übersteigt.</w:t>
      </w:r>
    </w:p>
    <w:p>
      <w:r>
        <w:t xml:space="preserve">(6) 1Die Körperschaft oder deren Rechtsnachfolger hat den sich nach Absatz 5 ergebenden Körperschaftsteuererhöhungsbetrag innerhalb eines Zeitraums von 2008 bis 2017 in zehn gleichen Jahresbeträgen zu entrichten (Zahlungszeitraum). 2Satz 1 gilt nicht für Körperschaften oder Personenvereinigungen, die sich am 31. Dezember 2006 bereits in Liquidation befanden. 3Der Anspruch entsteht am 1. Januar 2007. 4Der Körperschaftsteuererhöhungsbetrag wird für den gesamten Zahlungszeitraum festgesetzt. 5Der Jahresbetrag ist jeweils am 30. September fällig. 6Für das Jahr der Bekanntgabe des Bescheids und die vorangegangenen Jahre ist der Jahresbetrag innerhalb eines Monats nach Bekanntgabe des Bescheids fällig, wenn die Bekanntgabe des Bescheids nach dem 31. August 2008 erfolgt. 7In den Fällen des Satzes 2 ist der gesamte Anspruch innerhalb eines Monats nach Bekanntgabe des Bescheids fällig. 8Der Anspruch ist nicht verzinslich. 9Die Festsetzungsfrist für die Festsetzung des Körperschaftsteuererhöhungsbetrags läuft nicht vor Ablauf des Jahres ab, in dem der letzte Jahresbetrag fällig geworden ist.</w:t>
      </w:r>
    </w:p>
    <w:p>
      <w:r>
        <w:t xml:space="preserve">(7) 1Auf Antrag kann die Körperschaft oder deren Rechtsnachfolger abweichend von Absatz 6 Satz 1 den Körperschaftsteuererhöhungsbetrag in einer Summe entrichten. 2Der Antrag kann letztmals zum 30. September 2015 gestellt werden. 3Anstelle des jeweiligen Jahresbetrags ist zu dem Zahlungstermin, der auf den Zeitpunkt der Antragstellung folgt, der zu diesem Termin nach Absatz 6 Satz 4 fällige Jahresbetrag zuzüglich der noch nicht fälligen Jahresbeträge abgezinst mit einem Zinssatz von 5,5 Prozent zu entrichten. 4Mit der Zahlung erlischt der gesamte Anspruch. 5Die Sätze 3 und 4 sind in den Fällen des Absatzes 6 Satz 7, des Absatzes 8 und des Absatzes 9 Satz 1 und 2 von Amts wegen anzuwenden.</w:t>
      </w:r>
    </w:p>
    <w:p>
      <w:r>
        <w:t xml:space="preserve">(8) Bei Liquidationen, die nach dem 31. Dezember 2006 beginnen, werden alle entstandenen und festgesetzten Körperschaftsteuererhöhungsbeträge an dem 30. September fällig, der auf den Zeitpunkt der Erstellung der Liquidationseröffnungsbilanz folgt.</w:t>
      </w:r>
    </w:p>
    <w:p>
      <w:r>
        <w:t xml:space="preserve">(9) 1Geht das Vermögen einer unbeschränkt steuerpflichtigen Körperschaft oder Personenvereinigung durch einen der in § 1 Abs. 1 Nr. 1 des Umwandlungssteuergesetzes vom 7. Dezember 2006 (BGBl. I S. 2782, 2791) in der jeweils geltenden Fassung genannten Vorgänge ganz oder teilweise auf eine nicht unbeschränkt steuerpflichtige Körperschaft oder Personenvereinigung über oder verlegt eine unbeschränkt steuerpflichtige Körperschaft oder Personenvereinigung ihren Sitz oder Ort der Geschäftsleitung und endet dadurch ihre unbeschränkte Steuerpflicht, werden alle entstandenen und festgesetzten Körperschaftsteuererhöhungsbeträge an dem 30. September fällig, der auf den Zeitpunkt des Vermögensübergangs oder des Wegzugs folgt. 2Ist eine Festsetzung nach Absatz 6 noch nicht erfolgt, ist der gesamte Anspruch innerhalb eines Monats nach Bekanntgabe des Bescheids fällig. 3Satz 1 gilt nicht, wenn der übernehmende Rechtsträger in einem anderen Mitgliedstaat der Europäischen Union unbeschränkt steuerpflichtig ist oder die Körperschaft oder Personenvereinigung in den Fällen des Wegzugs in einem anderen Mitgliedstaat der Europäischen Union unbeschränkt steuerpflichtig wird.</w:t>
      </w:r>
    </w:p>
    <w:p>
      <w:r>
        <w:t xml:space="preserve">(10) § 37 Abs. 6 und 7 gilt entsprechend.</w:t>
      </w:r>
    </w:p>
    <w:p>
      <w:r>
        <w:rPr>
          <w:color w:val="555555"/>
          <w:sz w:val="17"/>
        </w:rPr>
        <w:t xml:space="preserve">Zitiervorschlag: § 38 KStG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https://recht.nulegal.eu/gesetze/KStG%201977/38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