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KStG 1977 — Körperschaftsteuerguthaben und Körperschaftsteuerminderung</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1Auf den Schluss des Wirtschaftsjahrs, das dem in § 36 Abs. 1 genannten Wirtschaftsjahr folgt, wird ein Körperschaftsteuerguthaben ermittelt. 2Das Körperschaftsteuerguthaben beträgt 1/6 des Endbestands des mit einer Körperschaftsteuer von 40 Prozent belasteten Teilbetrags.</w:t>
      </w:r>
    </w:p>
    <w:p>
      <w:r>
        <w:t xml:space="preserve">(2) 1Das Körperschaftsteuerguthaben mindert sich vorbehaltlich des Absatzes 2a um jeweils 1/6 der Gewinnausschüttungen, die in den folgenden Wirtschaftsjahren erfolgen und die auf einem den gesellschaftsrechtlichen Vorschriften entsprechenden Gewinnverteilungsbeschluss beruhen. 2Satz 1 gilt für Mehrabführungen im Sinne des § 14 Abs. 3 entsprechend. 3Die Körperschaftsteuer des Veranlagungszeitraums, in dem das Wirtschaftsjahr endet, in dem die Gewinnausschüttung erfolgt, mindert sich bis zum Verbrauch des Körperschaftsteuerguthabens um diesen Betrag, letztmalig in dem Veranlagungszeitraum, in dem das 18. Wirtschaftsjahr endet, das auf das Wirtschaftsjahr folgt, auf dessen Schluss nach Absatz 1 das Körperschaftsteuerguthaben ermittelt wird. 4Das verbleibende Körperschaftsteuerguthaben ist auf den Schluss der jeweiligen Wirtschaftsjahre, letztmals auf den Schluss des 17. Wirtschaftsjahrs, das auf das Wirtschaftsjahr folgt, auf dessen Schluss nach Absatz 1 das Körperschaftsteuerguthaben ermittelt wird, fortzuschreiben und gesondert festzustellen. 5§ 27 Abs. 2 gilt entsprechend.</w:t>
      </w:r>
    </w:p>
    <w:p>
      <w:r>
        <w:t xml:space="preserve">(2a) Die Minderung ist begrenzt</w:t>
      </w:r>
    </w:p>
    <w:p>
      <w:pPr>
        <w:ind w:left="420"/>
      </w:pPr>
      <w:r>
        <w:t xml:space="preserve">1. für Gewinnausschüttungen, die nach dem 11. April 2003 und vor dem 1. Januar 2006 erfolgen, jeweils auf 0 Euro;</w:t>
      </w:r>
    </w:p>
    <w:p>
      <w:pPr>
        <w:ind w:left="420"/>
      </w:pPr>
      <w:r>
        <w:t xml:space="preserve">2. für Gewinnausschüttungen, die nach dem 31. Dezember 2005 erfolgen auf den Betrag, der auf das Wirtschaftsjahr der Gewinnausschüttung entfällt, wenn das auf den Schluss des vorangegangenen Wirtschaftsjahrs festgestellte Körperschaftsteuerguthaben gleichmäßig auf die einschließlich des Wirtschaftsjahrs der Gewinnausschüttung verbleibenden Wirtschaftsjahre verteilt wird, für die nach Absatz 2 Satz 3 eine Körperschaftsteuerminderung in Betracht kommt.</w:t>
      </w:r>
    </w:p>
    <w:p>
      <w:r>
        <w:t xml:space="preserve">(3) 1Erhält eine unbeschränkt steuerpflichtige Körperschaft oder Personenvereinigung, deren Leistungen bei den Empfängern zu den Einnahmen im Sinne des § 20 Abs. 1 Nr. 1 oder 2 des Einkommensteuergesetzes in der Fassung des Artikels 1 des Gesetzes vom 20. Dezember 2001 (BGBl. I S. 3858) gehören, Bezüge, die nach § 8b Abs. 1 bei der Einkommensermittlung außer Ansatz bleiben, und die bei der leistenden Körperschaft zu einer Minderung der Körperschaftsteuer geführt haben, erhöht sich bei ihr die Körperschaftsteuer und das Körperschaftsteuerguthaben um den Betrag der Minderung der Körperschaftsteuer bei der leistenden Körperschaft. 2Satz 1 gilt auch, wenn der Körperschaft oder Personenvereinigung die entsprechenden Bezüge einer Organgesellschaft zugerechnet werden, weil sie entweder Organträger ist oder an einer Personengesellschaft beteiligt ist, die Organträger ist. 3Im Fall des § 4 des Umwandlungssteuergesetzes sind die Sätze 1 und 2 entsprechend anzuwenden. 4Die leistende Körperschaft hat der Empfängerin die folgenden Angaben nach amtlich vorgeschriebenem Muster zu bescheinigen:</w:t>
      </w:r>
    </w:p>
    <w:p>
      <w:pPr>
        <w:ind w:left="420"/>
      </w:pPr>
      <w:r>
        <w:t xml:space="preserve">1. den Namen und die Anschrift des Anteilseigners,</w:t>
      </w:r>
    </w:p>
    <w:p>
      <w:pPr>
        <w:ind w:left="420"/>
      </w:pPr>
      <w:r>
        <w:t xml:space="preserve">2. die Höhe des in Anspruch genommenen Körperschaftsteuerminderungsbetrags,</w:t>
      </w:r>
    </w:p>
    <w:p>
      <w:pPr>
        <w:ind w:left="420"/>
      </w:pPr>
      <w:r>
        <w:t xml:space="preserve">3. den Zahlungstag.</w:t>
      </w:r>
    </w:p>
    <w:p>
      <w:r>
        <w:t xml:space="preserve">5§ 27 Abs. 3 Satz 2, Abs. 4 und 5 gilt entsprechend. 6Die Sätze 1 bis 4 gelten nicht für steuerbefreite Körperschaften und Personenvereinigungen im Sinne des § 5 Abs. 1 Nr. 9, soweit die Einnahmen in einem wirtschaftlichen Geschäftsbetrieb anfallen, für den die Steuerbefreiung ausgeschlossen ist.</w:t>
      </w:r>
    </w:p>
    <w:p>
      <w:r>
        <w:t xml:space="preserve">(4) 1Das Körperschaftsteuerguthaben wird letztmalig auf den 31. Dezember 2006 ermittelt. 2Geht das Vermögen einer unbeschränkt steuerpflichtigen Körperschaft durch einen der in § 1 Abs. 1 des Umwandlungssteuergesetzes vom 7. Dezember 2006 (BGBl. I S. 2782, 2791) in der jeweils geltenden Fassung genannten Vorgänge, bei denen die Anmeldung zur Eintragung in ein öffentliches Register nach dem 12. Dezember 2006 erfolgt, ganz oder teilweise auf einen anderen Rechtsträger über, wird das Körperschaftsteuerguthaben bei der übertragenden Körperschaft letztmalig auf den vor dem 31. Dezember 2006 liegenden steuerlichen Übertragungsstichtag ermittelt. 3Wird das Vermögen einer Körperschaft oder Personenvereinigung im Rahmen einer Liquidation im Sinne des § 11 nach dem 12. Dezember 2006 und vor dem 1. Januar 2007 verteilt, wird das Körperschaftsteuerguthaben letztmalig auf den Stichtag ermittelt, auf den die Liquidationsschlussbilanz erstellt wird. 4Die Absätze 1 bis 3 sind letztmals auf Gewinnausschüttungen und als ausgeschüttet geltende Beträge anzuwenden, die vor dem 1. Januar 2007 oder bis zu dem nach Satz 2 maßgebenden Zeitpunkt erfolgt sind. 5In Fällen der Liquidation sind die Absätze 1 bis 3 auf Abschlagszahlungen anzuwenden, die bis zum Stichtag erfolgt sind, auf den das Körperschaftsteuerguthaben letztmalig ermittelt wird.</w:t>
      </w:r>
    </w:p>
    <w:p>
      <w:r>
        <w:t xml:space="preserve">(5) 1Die Körperschaft hat innerhalb eines Auszahlungszeitraums von 2008 bis 2017 einen Anspruch auf Auszahlung des Körperschaftsteuerguthabens in zehn gleichen Jahresbeträgen. 2Der Anspruch entsteht mit Ablauf des 31. Dezember 2006 oder des nach Absatz 4 Satz 2 oder Satz 3 maßgebenden Tages. 3Der Anspruch wird für den gesamten Auszahlungszeitraum festgesetzt. 4Der Anspruch ist jeweils am 30. September auszuzahlen. 5Für das Jahr der Bekanntgabe des Bescheids und die vorangegangenen Jahre ist der Anspruch innerhalb eines Monats nach Bekanntgabe des Bescheids auszuzahlen, wenn die Bekanntgabe des Bescheids nach dem 31. August 2008 erfolgt. 6Abweichend von Satz 1 ist der festgesetzte Anspruch in einem Betrag auszuzahlen, wenn das festgesetzte Körperschaftsteuerguthaben nicht mehr als 1 000 Euro beträgt.7Der Anspruch ist nicht verzinslich. 8Die Festsetzungsfrist für die Festsetzung des Anspruchs läuft nicht vor Ablauf des Jahres ab, in dem der letzte Jahresbetrag fällig geworden ist oder ohne Anwendung des Satzes 6 fällig geworden wäre. 9§ 10d Abs. 4 Satz 4 und 5 des Einkommensteuergesetzes gilt sinngemäß. 10Auf die Abtretung oder Verpfändung des Anspruchs ist § 46 Abs. 4 der Abgabenordnung nicht anzuwenden.</w:t>
      </w:r>
    </w:p>
    <w:p>
      <w:r>
        <w:t xml:space="preserve">(6) 1Wird der Bescheid über die Festsetzung des Anspruchs nach Absatz 5 aufgehoben oder geändert, wird der Betrag, um den der Anspruch, der sich aus dem geänderten Bescheid ergibt, die Summe der Auszahlungen, die bis zur Bekanntgabe des neuen Bescheids geleistet worden sind, übersteigt, auf die verbleibenden Fälligkeitstermine des Auszahlungszeitraums verteilt. 2Abweichend von Satz 1 ist der übersteigende Betrag in einer Summe auszuzahlen, wenn er nicht mehr als 1 000 Euro beträgt und auf die vorangegangene Festsetzung Absatz 5 Satz 6 oder dieser Satz angewendet worden ist. 3Ist die Summe der Auszahlungen, die bis zur Bekanntgabe des neuen Bescheids geleistet worden sind, größer als der Auszahlungsanspruch, der sich aus dem geänderten Bescheid ergibt, ist der Unterschiedsbetrag innerhalb eines Monats nach Bekanntgabe des Bescheids zu entrichten.</w:t>
      </w:r>
    </w:p>
    <w:p>
      <w:r>
        <w:t xml:space="preserve">(7) 1Erträge und Gewinnminderungen der Körperschaft, die sich aus der Anwendung des Absatzes 5 ergeben, gehören nicht zu den Einkünften im Sinne des Einkommensteuergesetzes. 2Die Auszahlung ist aus den Einnahmen an Körperschaftsteuer zu leisten.</w:t>
      </w:r>
    </w:p>
    <w:p>
      <w:r>
        <w:rPr>
          <w:color w:val="555555"/>
          <w:sz w:val="17"/>
        </w:rPr>
        <w:t xml:space="preserve">Zitiervorschlag: § 37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