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KStG 1977 — Endbestände</w:t>
      </w:r>
    </w:p>
    <w:p>
      <w:r>
        <w:rPr>
          <w:color w:val="555555"/>
          <w:sz w:val="18"/>
        </w:rPr>
        <w:t xml:space="preserve">Körperschaftsteuergesetz</w:t>
      </w:r>
    </w:p>
    <w:p>
      <w:r>
        <w:rPr>
          <w:color w:val="555555"/>
          <w:sz w:val="18"/>
        </w:rPr>
        <w:t xml:space="preserve">Stand: 10.06.2019 (konsolidierte Textfassung, kein amtliches Inkrafttretensdatum)</w:t>
      </w:r>
    </w:p>
    <w:p>
      <w:r>
        <w:t xml:space="preserve">(1) Auf den Schluss des letzten Wirtschaftsjahrs, das in dem Veranlagungszeitraum endet, für den das Körperschaftsteuergesetz in der Fassung der Bekanntmachung vom 22. April 1999 (BGBl. I S. 817), zuletzt geändert durch Artikel 4 des Gesetzes vom 14. Juli 2000 (BGBl. I S. 1034), letztmals anzuwenden ist, werden die Endbestände der Teilbeträge des verwendbaren Eigenkapitals ausgehend von den gemäß § 47 Abs. 1 Satz 1 Nr. 1 des Körperschaftsteuergesetzes in der Fassung der Bekanntmachung vom 22. April 1999 (BGBl. I S. 817), das zuletzt durch Artikel 4 des Gesetzes vom 14. Juli 2000 (BGBl. I S. 1034) geändert worden ist, festgestellten Teilbeträgen gemäß den nachfolgenden Absätzen ermittelt.</w:t>
      </w:r>
    </w:p>
    <w:p>
      <w:r>
        <w:t xml:space="preserve">(2) 1Die Teilbeträge sind um die Gewinnausschüttungen, die auf einem den gesellschaftsrechtlichen Vorschriften entsprechenden Gewinnverteilungsbeschluss für ein abgelaufenes Wirtschaftsjahr beruhen, und die in dem in Absatz 1 genannten Wirtschaftsjahr folgenden Wirtschaftsjahr erfolgen, sowie um andere Ausschüttungen und sonstige Leistungen, die in dem in Absatz 1 genannten Wirtschaftsjahr erfolgen, zu verringern. 2Die Regelungen des Vierten Teils des Körperschaftsteuergesetzes in der Fassung der Bekanntmachung vom 22. April 1999 (BGBl. I S. 817), das zuletzt durch Artikel 4 des Gesetzes vom 14. Juli 2000 (BGBl. I S. 1034) geändert worden ist, sind anzuwenden. 3Der Teilbetrag im Sinne des § 54 Abs. 11 Satz 1 des Körperschaftsteuergesetzes in der Fassung der Bekanntmachung vom 22. April 1999 (BGBl. I S. 817), das zuletzt durch Artikel 4 des Gesetzes vom 14. Juli 2000 (BGBl. I S. 1034) geändert worden ist, erhöht sich um die Einkommensteile, die nach § 34 Abs. 12 Satz 2 bis 5 einer Körperschaftsteuer von 45 Prozent unterlegen haben, und der Teilbetrag, der nach dem 31. Dezember 1998 einer Körperschaftsteuer in Höhe von 40 Prozent ungemildert unterlegen hat, erhöht sich um die Beträge, die nach § 34 Abs. 12 Satz 6 bis 8 einer Körperschaftsteuer von 40 Prozent unterlegen haben, jeweils nach Abzug der Körperschaftsteuer, der sie unterlegen haben.</w:t>
      </w:r>
    </w:p>
    <w:p>
      <w:r>
        <w:t xml:space="preserve">(3) 1Ein positiver belasteter Teilbetrag im Sinne des § 54 Abs. 11 Satz 1 des Körperschaftsteuergesetzes in der Fassung der Bekanntmachung vom 22. April 1999 (BGBl. I S. 817), das zuletzt durch Artikel 4 des Gesetzes vom 14. Juli 2000 (BGBl. I S. 1034) geändert worden ist, ist dem Teilbetrag, der nach dem 31. Dezember 1998 einer Körperschaftsteuer in Höhe von 40 Prozent ungemildert unterlegen hat, in Höhe von 27/22 seines Bestands hinzuzurechnen. 2In Höhe von 5/22 dieses Bestands ist der Teilbetrag im Sinne des § 30 Abs. 2 Nr. 2 des Gesetzes in der Fassung der Bekanntmachung vom 22. April 1999 (BGBl. I S. 817), das zuletzt durch Artikel 4 des Gesetzes vom 14. Juli 2000 (BGBl. I S. 1034) geändert worden ist, zu verringern.</w:t>
      </w:r>
    </w:p>
    <w:p>
      <w:r>
        <w:t xml:space="preserve">(4) Ist die Summe der unbelasteten Teilbeträge im Sinne des § 30 Abs. 2 Nr. 1 bis 3 in der Fassung des Artikels 4 des Gesetzes vom 14. Juli 2000 (BGBl. I S. 1034) nach Anwendung der Absätze 2 und 3 negativ, sind diese Teilbeträge zunächst untereinander und danach mit den mit Körperschaftsteuer belasteten Teilbeträgen in der Reihenfolge zu verrechnen, in der ihre Belastung zunimmt.</w:t>
      </w:r>
    </w:p>
    <w:p>
      <w:r>
        <w:t xml:space="preserve">(5) 1Ist die Summe der unbelasteten Teilbeträge im Sinne des § 30 Abs. 2 Nr. 1 bis 3 in der Fassung des Artikels 4 des Gesetzes vom 14. Juli 2000 (BGBl. I S. 1034) nach Anwendung der Absätze 2 und 3 nicht negativ, sind zunächst die Teilbeträge im Sinne des § 30 Abs. 2 Nr. 1 und 3 in der Fassung des Artikels 4 des Gesetzes vom 14. Juli 2000 (BGBl. I S. 1034) zusammenzufassen. 2Ein sich aus der Zusammenfassung ergebender Negativbetrag ist vorrangig mit einem positiven Teilbetrag im Sinne des § 30 Abs. 2 Nr. 2 in der Fassung des Artikels 4 des Gesetzes vom 14. Juli 2000 (BGBl. I S. 1034) zu verrechnen. 3Ein negativer Teilbetrag im Sinne des § 30 Abs. 2 Nr. 2 in der Fassung des Artikels 4 des Gesetzes vom 14. Juli 2000 (BGBl. I S. 1034) ist vorrangig mit dem positiven zusammengefassten Teilbetrag im Sinne des Satzes 1 zu verrechnen.</w:t>
      </w:r>
    </w:p>
    <w:p>
      <w:r>
        <w:t xml:space="preserve">(6) 1Ist einer der belasteten Teilbeträge negativ, sind diese Teilbeträge zunächst untereinander zu verrechnen. 2Ein sich danach ergebender Negativbetrag mindert vorrangig den nach Anwendung des Absatzes 5 verbleibenden positiven Teilbetrag im Sinne des § 30 Abs. 2 Nr. 2 in der Fassung des Artikels 4 des Gesetzes vom 14. Juli 2000 (BGBl. I S. 1034); ein darüber hinausgehender Negativbetrag mindert den positiven zusammengefassten Teilbetrag nach Absatz 5 Satz 1.</w:t>
      </w:r>
    </w:p>
    <w:p>
      <w:r>
        <w:t xml:space="preserve">(7) Die Endbestände sind getrennt auszuweisen und werden gesondert festgestellt; dabei sind die verbleibenden unbelasteten Teilbeträge im Sinne des § 30 Abs. 2 Nr. 1 und 3 des Körperschaftsteuergesetzes in der Fassung der Bekanntmachung vom 22. April 1999 (BGBl. I S. 817), das zuletzt durch Artikel 4 des Gesetzes vom 14. Juli 2000 (BGBl. I S. 1034) geändert worden ist, in einer Summe auszuweisen.</w:t>
      </w:r>
    </w:p>
    <w:p>
      <w:r>
        <w:rPr>
          <w:color w:val="555555"/>
          <w:sz w:val="17"/>
        </w:rPr>
        <w:t xml:space="preserve">Zitiervorschlag: § 36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