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33 KStG 1977 — Ermächtigungen</w:t>
      </w:r>
    </w:p>
    <w:p>
      <w:r>
        <w:rPr>
          <w:color w:val="555555"/>
          <w:sz w:val="18"/>
        </w:rPr>
        <w:t xml:space="preserve">Körperschaftsteuergesetz</w:t>
      </w:r>
    </w:p>
    <w:p>
      <w:r>
        <w:rPr>
          <w:color w:val="555555"/>
          <w:sz w:val="18"/>
        </w:rPr>
        <w:t xml:space="preserve">Stand: 07.07.2021 (konsolidierte Textfassung, kein amtliches Inkrafttretensdatum)</w:t>
      </w:r>
    </w:p>
    <w:p>
      <w:r>
        <w:t xml:space="preserve">(1) Die Bundesregierung wird ermächtigt, zur Durchführung dieses Gesetzes mit Zustimmung des Bundesrates durch Rechtsverordnung</w:t>
      </w:r>
    </w:p>
    <w:p>
      <w:pPr>
        <w:ind w:left="420"/>
      </w:pPr>
      <w:r>
        <w:t xml:space="preserve">1. zur Wahrung der Gleichmäßigkeit bei der Besteuerung, zur Beseitigung von Unbilligkeiten in Härtefällen und zur Vereinfachung des Besteuerungsverfahrens den Umfang der Steuerbefreiungen nach § 5 Abs. 1 Nr. 3 und 4 näher zu bestimmen. 2Dabei können</w:t>
      </w:r>
    </w:p>
    <w:p>
      <w:pPr>
        <w:ind w:left="780"/>
      </w:pPr>
      <w:r>
        <w:t xml:space="preserve">a) zur Durchführung des § 5 Abs. 1 Nr. 3 Vorschriften erlassen werden, nach denen die Steuerbefreiung nur eintritt,</w:t>
      </w:r>
    </w:p>
    <w:p>
      <w:pPr>
        <w:ind w:left="1140"/>
      </w:pPr>
      <w:r>
        <w:t xml:space="preserve">aa) wenn die Leistungsempfänger nicht überwiegend aus dem Unternehmer oder seinen Angehörigen, bei Gesellschaften aus den Gesellschaftern und ihren Angehörigen bestehen,</w:t>
      </w:r>
    </w:p>
    <w:p>
      <w:pPr>
        <w:ind w:left="1140"/>
      </w:pPr>
      <w:r>
        <w:t xml:space="preserve">bb) wenn bei Kassen mit Rechtsanspruch der Leistungsempfänger die Rechtsansprüche und bei Kassen ohne Rechtsanspruch der Leistungsempfänger die laufenden Kassenleistungen und das Sterbegeld bestimmte Beträge nicht übersteigen, die dem Wesen der Kasse als soziale Einrichtung entsprechen,</w:t>
      </w:r>
    </w:p>
    <w:p>
      <w:pPr>
        <w:ind w:left="1140"/>
      </w:pPr>
      <w:r>
        <w:t xml:space="preserve">cc) wenn bei Auflösung der Kasse ihr Vermögen satzungsmäßig nur für soziale Zwecke verwendet werden darf,</w:t>
      </w:r>
    </w:p>
    <w:p>
      <w:pPr>
        <w:ind w:left="1140"/>
      </w:pPr>
      <w:r>
        <w:t xml:space="preserve">dd) wenn rechtsfähige Pensions-, Sterbe- und Krankenkassen der Versicherungsaufsicht unterliegen,</w:t>
      </w:r>
    </w:p>
    <w:p>
      <w:pPr>
        <w:ind w:left="1140"/>
      </w:pPr>
      <w:r>
        <w:t xml:space="preserve">ee) wenn bei rechtsfähigen Unterstützungskassen die Leistungsempfänger zu laufenden Beiträgen oder Zuschüssen nicht verpflichtet sind und die Leistungsempfänger oder die Arbeitnehmervertretungen des Betriebs oder der Dienststelle an der Verwaltung der Beträge, die der Kasse zufließen, beratend mitwirken können;</w:t>
      </w:r>
    </w:p>
    <w:p>
      <w:pPr>
        <w:ind w:left="780"/>
      </w:pPr>
      <w:r>
        <w:t xml:space="preserve">b) zur Durchführung des § 5 Abs. 1 Nr. 4 Vorschriften erlassen werden</w:t>
      </w:r>
    </w:p>
    <w:p>
      <w:pPr>
        <w:ind w:left="1140"/>
      </w:pPr>
      <w:r>
        <w:t xml:space="preserve">aa) über die Höhe der für die Inanspruchnahme der Steuerbefreiung zulässigen Beitragseinnahmen,</w:t>
      </w:r>
    </w:p>
    <w:p>
      <w:pPr>
        <w:ind w:left="1140"/>
      </w:pPr>
      <w:r>
        <w:t xml:space="preserve">bb) nach denen bei Versicherungsvereinen auf Gegenseitigkeit, deren Geschäftsbetrieb sich auf die Sterbegeldversicherung beschränkt, die Steuerbefreiung unabhängig von der Höhe der Beitragseinnahmen auch eintritt, wenn die Höhe des Sterbegeldes insgesamt die Leistung der nach § 5 Abs. 1 Nr. 3 steuerbefreiten Sterbekassen nicht übersteigt und wenn der Verein auch im Übrigen eine soziale Einrichtung darstellt;</w:t>
      </w:r>
    </w:p>
    <w:p>
      <w:pPr>
        <w:ind w:left="420"/>
      </w:pPr>
      <w:r>
        <w:t xml:space="preserve">2. Vorschriften zu erlassen</w:t>
      </w:r>
    </w:p>
    <w:p>
      <w:pPr>
        <w:ind w:left="780"/>
      </w:pPr>
      <w:r>
        <w:t xml:space="preserve">a) (weggefallen)</w:t>
      </w:r>
    </w:p>
    <w:p>
      <w:pPr>
        <w:ind w:left="780"/>
      </w:pPr>
      <w:r>
        <w:t xml:space="preserve">b) über die Herabsetzung oder Erhöhung der Körperschaftsteuer nach § 23 Abs. 2;</w:t>
      </w:r>
    </w:p>
    <w:p>
      <w:pPr>
        <w:ind w:left="780"/>
      </w:pPr>
      <w:r>
        <w:t xml:space="preserve">c) nach denen bei Anschaffung oder Herstellung von abnutzbaren beweglichen und bei Herstellung von abnutzbaren unbeweglichen Wirtschaftsgütern des Anlagevermögens auf Antrag ein Abzug von der Körperschaftsteuer für den Veranlagungszeitraum der Anschaffung oder Herstellung bis zur Höhe von 7,5 Prozent der Anschaffungs- oder Herstellungskosten dieser Wirtschaftsgüter vorgenommen werden kann. 2§ 51 Abs. 1 Nr. 2 Buchstabe s des Einkommensteuergesetzes gilt entsprechend;</w:t>
      </w:r>
    </w:p>
    <w:p>
      <w:pPr>
        <w:ind w:left="780"/>
      </w:pPr>
      <w:r>
        <w:t xml:space="preserve">d) nach denen Versicherungsvereine auf Gegenseitigkeit von geringerer wirtschaftlicher Bedeutung, die eine Schwankungsrückstellung nach § 20 Abs. 1 nicht gebildet haben, zum Ausgleich des schwankenden Jahresbedarfs zu Lasten des steuerlichen Gewinns Beträge der nach § 193 des Versicherungsaufsichtsgesetzes zu bildenden Verlustrücklage zuführen können.</w:t>
      </w:r>
    </w:p>
    <w:p>
      <w:r>
        <w:t xml:space="preserve">(2) Das Bundesministerium der Finanzen wird ermächtigt,</w:t>
      </w:r>
    </w:p>
    <w:p>
      <w:pPr>
        <w:ind w:left="420"/>
      </w:pPr>
      <w:r>
        <w:t xml:space="preserve">1. im Einvernehmen mit den obersten Finanzbehörden der Länder Muster der in den §§ 27 und 37 vorgeschriebenen Bescheinigungen zu bestimmen;</w:t>
      </w:r>
    </w:p>
    <w:p>
      <w:pPr>
        <w:ind w:left="420"/>
      </w:pPr>
      <w:r>
        <w:t xml:space="preserve">2. den Wortlaut dieses Gesetzes und der zu diesem Gesetz erlassenen Durchführungsverordnungen in der jeweils geltenden Fassung mit neuem Datum, unter neuer Überschrift und in neuer Paragrafenfolge bekannt zu machen und dabei Unstimmigkeiten des Wortlauts zu beseitigen.</w:t>
      </w:r>
    </w:p>
    <w:p>
      <w:r>
        <w:rPr>
          <w:color w:val="555555"/>
          <w:sz w:val="17"/>
        </w:rPr>
        <w:t xml:space="preserve">Zitiervorschlag: § 33 KStG 1977</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https://recht.nulegal.eu/gesetze/KStG%201977/33</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