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KStG 1977 — Erlass, Aufhebung oder Änderung von Steuerbescheiden bei verdeckter Gewinnausschüttung oder verdeckter Einlage</w:t>
      </w:r>
    </w:p>
    <w:p>
      <w:r>
        <w:rPr>
          <w:color w:val="555555"/>
          <w:sz w:val="18"/>
        </w:rPr>
        <w:t xml:space="preserve">Körperschaftsteuergesetz</w:t>
      </w:r>
    </w:p>
    <w:p>
      <w:r>
        <w:rPr>
          <w:color w:val="555555"/>
          <w:sz w:val="18"/>
        </w:rPr>
        <w:t xml:space="preserve">Stand: 10.06.2019 (konsolidierte Textfassung, kein amtliches Inkrafttretensdatum)</w:t>
      </w:r>
    </w:p>
    <w:p>
      <w:r>
        <w:t xml:space="preserve">(1) 1Soweit gegenüber einer Körperschaft ein Steuerbescheid hinsichtlich der Berücksichtigung einer verdeckten Gewinnausschüttung erlassen, aufgehoben oder geändert wird, kann ein Steuerbescheid oder ein Feststellungsbescheid gegenüber dem Gesellschafter, dem die verdeckte Gewinnausschüttung zuzurechnen ist, oder einer diesem nahe stehenden Person erlassen, aufgehoben oder geändert werden. 2Die Festsetzungsfrist endet insoweit nicht vor Ablauf eines Jahres nach Unanfechtbarkeit des Steuerbescheides der Körperschaft. 3Die Sätze 1 und 2 gelten auch für verdeckte Gewinnausschüttungen an Empfänger von Bezügen im Sinne des § 20 Abs. 1 Nr. 9 und 10 Buchstabe a des Einkommensteuergesetzes.</w:t>
      </w:r>
    </w:p>
    <w:p>
      <w:r>
        <w:t xml:space="preserve">(2) 1Soweit gegenüber dem Gesellschafter ein Steuerbescheid oder ein Feststellungsbescheid hinsichtlich der Berücksichtigung einer verdeckten Einlage erlassen, aufgehoben oder geändert wird, kann ein Steuerbescheid gegenüber der Körperschaft, welcher der Vermögensvorteil zugewendet wurde, aufgehoben, erlassen oder geändert werden. 2Absatz 1 Satz 2 gilt entsprechend.</w:t>
      </w:r>
    </w:p>
    <w:p>
      <w:r>
        <w:rPr>
          <w:color w:val="555555"/>
          <w:sz w:val="17"/>
        </w:rPr>
        <w:t xml:space="preserve">Zitiervorschlag: § 32a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https://recht.nulegal.eu/gesetze/KStG%201977/32a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