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KStG 1977 — Entstehung der Körperschaftsteuer</w:t>
      </w:r>
    </w:p>
    <w:p>
      <w:r>
        <w:rPr>
          <w:color w:val="555555"/>
          <w:sz w:val="18"/>
        </w:rPr>
        <w:t xml:space="preserve">Körperschaftsteuergesetz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Körperschaftsteuer entsteht</w:t>
      </w:r>
    </w:p>
    <w:p>
      <w:pPr>
        <w:ind w:left="420"/>
      </w:pPr>
      <w:r>
        <w:t xml:space="preserve">1. für Steuerabzugsbeträge in dem Zeitpunkt, in dem die steuerpflichtigen Einkünfte zufließen,</w:t>
      </w:r>
    </w:p>
    <w:p>
      <w:pPr>
        <w:ind w:left="420"/>
      </w:pPr>
      <w:r>
        <w:t xml:space="preserve">2. für Vorauszahlungen mit Beginn des Kalendervierteljahrs, in dem die Vorauszahlungen zu entrichten sind, oder, wenn die Steuerpflicht erst im Laufe des Kalenderjahrs begründet wird, mit Begründung der Steuerpflicht,</w:t>
      </w:r>
    </w:p>
    <w:p>
      <w:pPr>
        <w:ind w:left="420"/>
      </w:pPr>
      <w:r>
        <w:t xml:space="preserve">3. für die veranlagte Steuer mit Ablauf des Veranlagungszeitraums, soweit nicht die Steuer nach Nummer 1 oder 2 schon früher entstanden ist.</w:t>
      </w:r>
    </w:p>
    <w:p>
      <w:r>
        <w:rPr>
          <w:color w:val="555555"/>
          <w:sz w:val="17"/>
        </w:rPr>
        <w:t xml:space="preserve">Zitiervorschlag: § 30 KStG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https://recht.nulegal.eu/gesetze/KStG%201977/30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